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7320F" w14:textId="77777777" w:rsidR="003B74B1" w:rsidRDefault="000C30EE" w:rsidP="0059165E">
      <w:pPr>
        <w:spacing w:after="0"/>
        <w:jc w:val="center"/>
        <w:rPr>
          <w:rFonts w:ascii="Arial" w:hAnsi="Arial" w:cs="Arial"/>
          <w:bCs/>
          <w:sz w:val="20"/>
          <w:szCs w:val="20"/>
        </w:rPr>
      </w:pPr>
      <w:r w:rsidRPr="00271235">
        <w:rPr>
          <w:rFonts w:ascii="Arial" w:hAnsi="Arial" w:cs="Arial"/>
          <w:b/>
          <w:sz w:val="20"/>
          <w:szCs w:val="20"/>
        </w:rPr>
        <w:t xml:space="preserve">                                                                                                                                                                                                                                                                                                                                                                                                                                                                                                                                                                                                                                                                                                                                                                                                                                                                                                                                                                                                                                                                                                                                                                                                                                                                                                                              </w:t>
      </w:r>
      <w:r w:rsidR="008D797A" w:rsidRPr="00271235">
        <w:rPr>
          <w:rFonts w:ascii="Arial" w:hAnsi="Arial" w:cs="Arial"/>
          <w:b/>
          <w:sz w:val="20"/>
          <w:szCs w:val="20"/>
        </w:rPr>
        <w:t xml:space="preserve">    </w:t>
      </w:r>
      <w:r w:rsidR="008D797A" w:rsidRPr="00271235">
        <w:rPr>
          <w:rFonts w:ascii="Arial" w:hAnsi="Arial" w:cs="Arial"/>
          <w:bCs/>
          <w:sz w:val="20"/>
          <w:szCs w:val="20"/>
        </w:rPr>
        <w:t xml:space="preserve">  </w:t>
      </w:r>
      <w:bookmarkStart w:id="0" w:name="_Hlk92205786"/>
    </w:p>
    <w:p w14:paraId="6C3E2295" w14:textId="77777777" w:rsidR="003B74B1" w:rsidRDefault="003B74B1" w:rsidP="0059165E">
      <w:pPr>
        <w:spacing w:after="0"/>
        <w:jc w:val="center"/>
        <w:rPr>
          <w:rFonts w:ascii="Arial" w:hAnsi="Arial" w:cs="Arial"/>
          <w:bCs/>
          <w:sz w:val="20"/>
          <w:szCs w:val="20"/>
        </w:rPr>
      </w:pPr>
    </w:p>
    <w:p w14:paraId="6EDC898A" w14:textId="77777777" w:rsidR="003B74B1" w:rsidRDefault="003B74B1" w:rsidP="0059165E">
      <w:pPr>
        <w:spacing w:after="0"/>
        <w:jc w:val="center"/>
        <w:rPr>
          <w:rFonts w:ascii="Arial" w:hAnsi="Arial" w:cs="Arial"/>
          <w:bCs/>
          <w:sz w:val="20"/>
          <w:szCs w:val="20"/>
        </w:rPr>
      </w:pPr>
    </w:p>
    <w:p w14:paraId="4BA2154E" w14:textId="26C1AB7C" w:rsidR="00D8254B" w:rsidRDefault="00706E1C" w:rsidP="0059165E">
      <w:pPr>
        <w:spacing w:after="0"/>
        <w:jc w:val="center"/>
        <w:rPr>
          <w:rFonts w:ascii="Arial" w:hAnsi="Arial" w:cs="Arial"/>
          <w:b/>
          <w:u w:val="single"/>
        </w:rPr>
      </w:pPr>
      <w:r w:rsidRPr="000D1F17">
        <w:rPr>
          <w:rFonts w:ascii="Arial" w:hAnsi="Arial" w:cs="Arial"/>
          <w:b/>
          <w:u w:val="single"/>
        </w:rPr>
        <w:t>Holbrook Parish Council</w:t>
      </w:r>
    </w:p>
    <w:p w14:paraId="3AA6EA0D" w14:textId="752918B7" w:rsidR="00706E1C" w:rsidRDefault="00706E1C" w:rsidP="00954B4F">
      <w:pPr>
        <w:tabs>
          <w:tab w:val="center" w:pos="4807"/>
          <w:tab w:val="left" w:pos="8580"/>
        </w:tabs>
        <w:spacing w:after="0"/>
        <w:jc w:val="center"/>
        <w:rPr>
          <w:rFonts w:ascii="Arial" w:hAnsi="Arial" w:cs="Arial"/>
          <w:b/>
          <w:u w:val="single"/>
        </w:rPr>
      </w:pPr>
      <w:r w:rsidRPr="000D1F17">
        <w:rPr>
          <w:rFonts w:ascii="Arial" w:hAnsi="Arial" w:cs="Arial"/>
          <w:b/>
          <w:u w:val="single"/>
        </w:rPr>
        <w:t xml:space="preserve">Responsible Financial Officers Report </w:t>
      </w:r>
      <w:r w:rsidR="00F00DE2" w:rsidRPr="000D1F17">
        <w:rPr>
          <w:rFonts w:ascii="Arial" w:hAnsi="Arial" w:cs="Arial"/>
          <w:b/>
          <w:u w:val="single"/>
        </w:rPr>
        <w:t xml:space="preserve">to meeting </w:t>
      </w:r>
      <w:r w:rsidR="003B2CAE">
        <w:rPr>
          <w:rFonts w:ascii="Arial" w:hAnsi="Arial" w:cs="Arial"/>
          <w:b/>
          <w:u w:val="single"/>
        </w:rPr>
        <w:t>17</w:t>
      </w:r>
      <w:r w:rsidR="003B2CAE" w:rsidRPr="003B2CAE">
        <w:rPr>
          <w:rFonts w:ascii="Arial" w:hAnsi="Arial" w:cs="Arial"/>
          <w:b/>
          <w:u w:val="single"/>
          <w:vertAlign w:val="superscript"/>
        </w:rPr>
        <w:t>th</w:t>
      </w:r>
      <w:r w:rsidR="003B2CAE">
        <w:rPr>
          <w:rFonts w:ascii="Arial" w:hAnsi="Arial" w:cs="Arial"/>
          <w:b/>
          <w:u w:val="single"/>
        </w:rPr>
        <w:t xml:space="preserve"> June</w:t>
      </w:r>
      <w:r w:rsidR="00237E38">
        <w:rPr>
          <w:rFonts w:ascii="Arial" w:hAnsi="Arial" w:cs="Arial"/>
          <w:b/>
          <w:u w:val="single"/>
        </w:rPr>
        <w:t xml:space="preserve"> 2024</w:t>
      </w:r>
    </w:p>
    <w:p w14:paraId="314EDA47" w14:textId="3ACD8AD5" w:rsidR="00C357CD" w:rsidRDefault="00C357CD" w:rsidP="00C357CD">
      <w:pPr>
        <w:spacing w:after="0"/>
        <w:jc w:val="center"/>
        <w:rPr>
          <w:rFonts w:ascii="Arial" w:hAnsi="Arial" w:cs="Arial"/>
          <w:b/>
        </w:rPr>
      </w:pPr>
      <w:r w:rsidRPr="000D1F17">
        <w:rPr>
          <w:rFonts w:ascii="Arial" w:hAnsi="Arial" w:cs="Arial"/>
          <w:b/>
        </w:rPr>
        <w:t xml:space="preserve">Details of expenditure for the period </w:t>
      </w:r>
      <w:r>
        <w:rPr>
          <w:rFonts w:ascii="Arial" w:hAnsi="Arial" w:cs="Arial"/>
          <w:b/>
        </w:rPr>
        <w:t>1</w:t>
      </w:r>
      <w:r w:rsidRPr="00FE1AAD">
        <w:rPr>
          <w:rFonts w:ascii="Arial" w:hAnsi="Arial" w:cs="Arial"/>
          <w:b/>
          <w:vertAlign w:val="superscript"/>
        </w:rPr>
        <w:t>st</w:t>
      </w:r>
      <w:r>
        <w:rPr>
          <w:rFonts w:ascii="Arial" w:hAnsi="Arial" w:cs="Arial"/>
          <w:b/>
        </w:rPr>
        <w:t xml:space="preserve"> </w:t>
      </w:r>
      <w:r w:rsidR="003B2CAE">
        <w:rPr>
          <w:rFonts w:ascii="Arial" w:hAnsi="Arial" w:cs="Arial"/>
          <w:b/>
        </w:rPr>
        <w:t>May</w:t>
      </w:r>
      <w:r w:rsidR="00B27EA8">
        <w:rPr>
          <w:rFonts w:ascii="Arial" w:hAnsi="Arial" w:cs="Arial"/>
          <w:b/>
        </w:rPr>
        <w:t xml:space="preserve"> </w:t>
      </w:r>
      <w:r>
        <w:rPr>
          <w:rFonts w:ascii="Arial" w:hAnsi="Arial" w:cs="Arial"/>
          <w:b/>
        </w:rPr>
        <w:t xml:space="preserve">to </w:t>
      </w:r>
      <w:r w:rsidR="00B27EA8">
        <w:rPr>
          <w:rFonts w:ascii="Arial" w:hAnsi="Arial" w:cs="Arial"/>
          <w:b/>
        </w:rPr>
        <w:t>3</w:t>
      </w:r>
      <w:r w:rsidR="003B2CAE">
        <w:rPr>
          <w:rFonts w:ascii="Arial" w:hAnsi="Arial" w:cs="Arial"/>
          <w:b/>
        </w:rPr>
        <w:t>1</w:t>
      </w:r>
      <w:r w:rsidR="003B2CAE" w:rsidRPr="003B2CAE">
        <w:rPr>
          <w:rFonts w:ascii="Arial" w:hAnsi="Arial" w:cs="Arial"/>
          <w:b/>
          <w:vertAlign w:val="superscript"/>
        </w:rPr>
        <w:t>st</w:t>
      </w:r>
      <w:r w:rsidR="003B2CAE">
        <w:rPr>
          <w:rFonts w:ascii="Arial" w:hAnsi="Arial" w:cs="Arial"/>
          <w:b/>
        </w:rPr>
        <w:t xml:space="preserve"> May</w:t>
      </w:r>
      <w:r w:rsidRPr="000D1F17">
        <w:rPr>
          <w:rFonts w:ascii="Arial" w:hAnsi="Arial" w:cs="Arial"/>
          <w:b/>
        </w:rPr>
        <w:t xml:space="preserve"> inclusive </w:t>
      </w:r>
    </w:p>
    <w:p w14:paraId="35A91603" w14:textId="77777777" w:rsidR="00954B4F" w:rsidRDefault="00954B4F" w:rsidP="00C357CD">
      <w:pPr>
        <w:spacing w:after="0"/>
        <w:jc w:val="center"/>
        <w:rPr>
          <w:rFonts w:ascii="Arial" w:hAnsi="Arial" w:cs="Arial"/>
          <w:b/>
        </w:rPr>
      </w:pPr>
    </w:p>
    <w:p w14:paraId="460EA382" w14:textId="77777777" w:rsidR="00954B4F" w:rsidRDefault="00954B4F" w:rsidP="00C357CD">
      <w:pPr>
        <w:spacing w:after="0"/>
        <w:jc w:val="center"/>
        <w:rPr>
          <w:rFonts w:ascii="Arial" w:hAnsi="Arial" w:cs="Arial"/>
          <w:b/>
        </w:rPr>
      </w:pPr>
    </w:p>
    <w:tbl>
      <w:tblPr>
        <w:tblStyle w:val="TableGrid"/>
        <w:tblW w:w="9015" w:type="dxa"/>
        <w:jc w:val="center"/>
        <w:tblLayout w:type="fixed"/>
        <w:tblLook w:val="04A0" w:firstRow="1" w:lastRow="0" w:firstColumn="1" w:lastColumn="0" w:noHBand="0" w:noVBand="1"/>
      </w:tblPr>
      <w:tblGrid>
        <w:gridCol w:w="1414"/>
        <w:gridCol w:w="5956"/>
        <w:gridCol w:w="1645"/>
      </w:tblGrid>
      <w:tr w:rsidR="00046406" w:rsidRPr="00954B4F" w14:paraId="4F799A3F" w14:textId="77777777" w:rsidTr="00954B4F">
        <w:trPr>
          <w:jc w:val="center"/>
        </w:trPr>
        <w:tc>
          <w:tcPr>
            <w:tcW w:w="1414" w:type="dxa"/>
            <w:tcBorders>
              <w:top w:val="single" w:sz="4" w:space="0" w:color="auto"/>
              <w:left w:val="single" w:sz="4" w:space="0" w:color="auto"/>
              <w:bottom w:val="single" w:sz="4" w:space="0" w:color="auto"/>
              <w:right w:val="single" w:sz="4" w:space="0" w:color="auto"/>
            </w:tcBorders>
            <w:hideMark/>
          </w:tcPr>
          <w:p w14:paraId="76EA22B9" w14:textId="77777777" w:rsidR="00046406" w:rsidRPr="00954B4F" w:rsidRDefault="00046406" w:rsidP="0001633A">
            <w:pPr>
              <w:jc w:val="both"/>
              <w:rPr>
                <w:rFonts w:ascii="Arial" w:hAnsi="Arial" w:cs="Arial"/>
                <w:b/>
                <w:bCs/>
                <w:sz w:val="24"/>
                <w:szCs w:val="24"/>
              </w:rPr>
            </w:pPr>
            <w:r w:rsidRPr="00954B4F">
              <w:rPr>
                <w:rFonts w:ascii="Arial" w:hAnsi="Arial" w:cs="Arial"/>
                <w:b/>
                <w:bCs/>
                <w:sz w:val="24"/>
                <w:szCs w:val="24"/>
              </w:rPr>
              <w:t>Date</w:t>
            </w:r>
          </w:p>
        </w:tc>
        <w:tc>
          <w:tcPr>
            <w:tcW w:w="5956" w:type="dxa"/>
            <w:tcBorders>
              <w:top w:val="single" w:sz="4" w:space="0" w:color="auto"/>
              <w:left w:val="single" w:sz="4" w:space="0" w:color="auto"/>
              <w:bottom w:val="single" w:sz="4" w:space="0" w:color="auto"/>
              <w:right w:val="single" w:sz="4" w:space="0" w:color="auto"/>
            </w:tcBorders>
            <w:hideMark/>
          </w:tcPr>
          <w:p w14:paraId="0F431151" w14:textId="77777777" w:rsidR="00046406" w:rsidRPr="00954B4F" w:rsidRDefault="00046406" w:rsidP="0001633A">
            <w:pPr>
              <w:jc w:val="both"/>
              <w:rPr>
                <w:rFonts w:ascii="Arial" w:hAnsi="Arial" w:cs="Arial"/>
                <w:b/>
                <w:bCs/>
                <w:sz w:val="24"/>
                <w:szCs w:val="24"/>
              </w:rPr>
            </w:pPr>
            <w:r w:rsidRPr="00954B4F">
              <w:rPr>
                <w:rFonts w:ascii="Arial" w:hAnsi="Arial" w:cs="Arial"/>
                <w:b/>
                <w:bCs/>
                <w:sz w:val="24"/>
                <w:szCs w:val="24"/>
              </w:rPr>
              <w:t>Payee</w:t>
            </w:r>
          </w:p>
        </w:tc>
        <w:tc>
          <w:tcPr>
            <w:tcW w:w="1645" w:type="dxa"/>
            <w:tcBorders>
              <w:top w:val="single" w:sz="4" w:space="0" w:color="auto"/>
              <w:left w:val="single" w:sz="4" w:space="0" w:color="auto"/>
              <w:bottom w:val="single" w:sz="4" w:space="0" w:color="auto"/>
              <w:right w:val="single" w:sz="4" w:space="0" w:color="auto"/>
            </w:tcBorders>
            <w:hideMark/>
          </w:tcPr>
          <w:p w14:paraId="1AFBF884" w14:textId="77777777" w:rsidR="00046406" w:rsidRPr="00954B4F" w:rsidRDefault="00046406" w:rsidP="0001633A">
            <w:pPr>
              <w:jc w:val="both"/>
              <w:rPr>
                <w:rFonts w:ascii="Arial" w:hAnsi="Arial" w:cs="Arial"/>
                <w:b/>
                <w:bCs/>
                <w:sz w:val="24"/>
                <w:szCs w:val="24"/>
              </w:rPr>
            </w:pPr>
            <w:r w:rsidRPr="00954B4F">
              <w:rPr>
                <w:rFonts w:ascii="Arial" w:hAnsi="Arial" w:cs="Arial"/>
                <w:b/>
                <w:bCs/>
                <w:sz w:val="24"/>
                <w:szCs w:val="24"/>
              </w:rPr>
              <w:t>Amount</w:t>
            </w:r>
          </w:p>
        </w:tc>
      </w:tr>
      <w:tr w:rsidR="0028503E" w:rsidRPr="00954B4F" w14:paraId="78A25E34" w14:textId="77777777" w:rsidTr="00954B4F">
        <w:trPr>
          <w:jc w:val="center"/>
        </w:trPr>
        <w:tc>
          <w:tcPr>
            <w:tcW w:w="1414" w:type="dxa"/>
          </w:tcPr>
          <w:p w14:paraId="569B4354"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23.04.24</w:t>
            </w:r>
          </w:p>
        </w:tc>
        <w:tc>
          <w:tcPr>
            <w:tcW w:w="5956" w:type="dxa"/>
          </w:tcPr>
          <w:p w14:paraId="1D72D525"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Co-op – Refreshments for APM (debit card)</w:t>
            </w:r>
          </w:p>
        </w:tc>
        <w:tc>
          <w:tcPr>
            <w:tcW w:w="1645" w:type="dxa"/>
          </w:tcPr>
          <w:p w14:paraId="5967A7EF" w14:textId="77777777" w:rsidR="0028503E" w:rsidRPr="00954B4F" w:rsidRDefault="0028503E" w:rsidP="00BF6FF1">
            <w:pPr>
              <w:rPr>
                <w:rFonts w:ascii="Arial" w:hAnsi="Arial" w:cs="Arial"/>
                <w:bCs/>
                <w:sz w:val="24"/>
                <w:szCs w:val="24"/>
              </w:rPr>
            </w:pPr>
            <w:r w:rsidRPr="00954B4F">
              <w:rPr>
                <w:rFonts w:ascii="Arial" w:hAnsi="Arial" w:cs="Arial"/>
                <w:sz w:val="24"/>
                <w:szCs w:val="24"/>
              </w:rPr>
              <w:t xml:space="preserve">£     13.99  </w:t>
            </w:r>
          </w:p>
        </w:tc>
      </w:tr>
      <w:tr w:rsidR="0028503E" w:rsidRPr="00954B4F" w14:paraId="5B338C8D" w14:textId="77777777" w:rsidTr="00954B4F">
        <w:trPr>
          <w:jc w:val="center"/>
        </w:trPr>
        <w:tc>
          <w:tcPr>
            <w:tcW w:w="1414" w:type="dxa"/>
          </w:tcPr>
          <w:p w14:paraId="0804DDB1"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3DB978E3"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Mrs J M Hazlewood – Clerk’s Expenses Travel &amp; Stationery (BACs)</w:t>
            </w:r>
          </w:p>
        </w:tc>
        <w:tc>
          <w:tcPr>
            <w:tcW w:w="1645" w:type="dxa"/>
          </w:tcPr>
          <w:p w14:paraId="0F5F6F0A" w14:textId="77777777" w:rsidR="0028503E" w:rsidRPr="00954B4F" w:rsidRDefault="0028503E" w:rsidP="00BF6FF1">
            <w:pPr>
              <w:rPr>
                <w:rFonts w:ascii="Arial" w:hAnsi="Arial" w:cs="Arial"/>
                <w:bCs/>
                <w:sz w:val="24"/>
                <w:szCs w:val="24"/>
              </w:rPr>
            </w:pPr>
            <w:r w:rsidRPr="00954B4F">
              <w:rPr>
                <w:rFonts w:ascii="Arial" w:hAnsi="Arial" w:cs="Arial"/>
                <w:sz w:val="24"/>
                <w:szCs w:val="24"/>
              </w:rPr>
              <w:t>£     79.21</w:t>
            </w:r>
          </w:p>
        </w:tc>
      </w:tr>
      <w:tr w:rsidR="0028503E" w:rsidRPr="00954B4F" w14:paraId="7BE2694A" w14:textId="77777777" w:rsidTr="00954B4F">
        <w:trPr>
          <w:jc w:val="center"/>
        </w:trPr>
        <w:tc>
          <w:tcPr>
            <w:tcW w:w="1414" w:type="dxa"/>
          </w:tcPr>
          <w:p w14:paraId="63A3E6B8"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21D71775"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Mrs J M Hazlewood – Clerk’s Salary January (BACs)</w:t>
            </w:r>
          </w:p>
        </w:tc>
        <w:tc>
          <w:tcPr>
            <w:tcW w:w="1645" w:type="dxa"/>
          </w:tcPr>
          <w:p w14:paraId="53ABAB96" w14:textId="77777777" w:rsidR="0028503E" w:rsidRPr="00954B4F" w:rsidRDefault="0028503E" w:rsidP="00BF6FF1">
            <w:pPr>
              <w:rPr>
                <w:rFonts w:ascii="Arial" w:hAnsi="Arial" w:cs="Arial"/>
                <w:bCs/>
                <w:sz w:val="24"/>
                <w:szCs w:val="24"/>
              </w:rPr>
            </w:pPr>
            <w:r w:rsidRPr="00954B4F">
              <w:rPr>
                <w:rFonts w:ascii="Arial" w:hAnsi="Arial" w:cs="Arial"/>
                <w:sz w:val="24"/>
                <w:szCs w:val="24"/>
              </w:rPr>
              <w:t>£   726.45</w:t>
            </w:r>
          </w:p>
        </w:tc>
      </w:tr>
      <w:tr w:rsidR="0028503E" w:rsidRPr="00954B4F" w14:paraId="758AEEA5" w14:textId="77777777" w:rsidTr="00954B4F">
        <w:trPr>
          <w:jc w:val="center"/>
        </w:trPr>
        <w:tc>
          <w:tcPr>
            <w:tcW w:w="1414" w:type="dxa"/>
          </w:tcPr>
          <w:p w14:paraId="37EE26E2"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46566E43"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Mr W. Abbott – Community Caretaker Salary (BACs)</w:t>
            </w:r>
          </w:p>
        </w:tc>
        <w:tc>
          <w:tcPr>
            <w:tcW w:w="1645" w:type="dxa"/>
          </w:tcPr>
          <w:p w14:paraId="7CD0E916" w14:textId="77777777" w:rsidR="0028503E" w:rsidRPr="00954B4F" w:rsidRDefault="0028503E" w:rsidP="00BF6FF1">
            <w:pPr>
              <w:rPr>
                <w:rFonts w:ascii="Arial" w:hAnsi="Arial" w:cs="Arial"/>
                <w:bCs/>
                <w:sz w:val="24"/>
                <w:szCs w:val="24"/>
              </w:rPr>
            </w:pPr>
            <w:r w:rsidRPr="00954B4F">
              <w:rPr>
                <w:rFonts w:ascii="Arial" w:hAnsi="Arial" w:cs="Arial"/>
                <w:sz w:val="24"/>
                <w:szCs w:val="24"/>
              </w:rPr>
              <w:t>£   291.03</w:t>
            </w:r>
          </w:p>
        </w:tc>
      </w:tr>
      <w:tr w:rsidR="0028503E" w:rsidRPr="00954B4F" w14:paraId="7D475602" w14:textId="77777777" w:rsidTr="00954B4F">
        <w:trPr>
          <w:jc w:val="center"/>
        </w:trPr>
        <w:tc>
          <w:tcPr>
            <w:tcW w:w="1414" w:type="dxa"/>
          </w:tcPr>
          <w:p w14:paraId="6DF2214E"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7CF4A6CB"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HMRC – PAYE &amp; Employer’s NI (BACs)</w:t>
            </w:r>
          </w:p>
        </w:tc>
        <w:tc>
          <w:tcPr>
            <w:tcW w:w="1645" w:type="dxa"/>
          </w:tcPr>
          <w:p w14:paraId="50AFA485" w14:textId="77777777" w:rsidR="0028503E" w:rsidRPr="00954B4F" w:rsidRDefault="0028503E" w:rsidP="00BF6FF1">
            <w:pPr>
              <w:rPr>
                <w:rFonts w:ascii="Arial" w:hAnsi="Arial" w:cs="Arial"/>
                <w:bCs/>
                <w:sz w:val="24"/>
                <w:szCs w:val="24"/>
              </w:rPr>
            </w:pPr>
            <w:r w:rsidRPr="00954B4F">
              <w:rPr>
                <w:rFonts w:ascii="Arial" w:hAnsi="Arial" w:cs="Arial"/>
                <w:sz w:val="24"/>
                <w:szCs w:val="24"/>
              </w:rPr>
              <w:t>£   233.51</w:t>
            </w:r>
          </w:p>
        </w:tc>
      </w:tr>
      <w:tr w:rsidR="0028503E" w:rsidRPr="00954B4F" w14:paraId="5725A718" w14:textId="77777777" w:rsidTr="00954B4F">
        <w:trPr>
          <w:jc w:val="center"/>
        </w:trPr>
        <w:tc>
          <w:tcPr>
            <w:tcW w:w="1414" w:type="dxa"/>
          </w:tcPr>
          <w:p w14:paraId="34BB86CF"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192F8540"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Heelis &amp; Lodge – Internal Audit fee (BACs)</w:t>
            </w:r>
          </w:p>
        </w:tc>
        <w:tc>
          <w:tcPr>
            <w:tcW w:w="1645" w:type="dxa"/>
          </w:tcPr>
          <w:p w14:paraId="4F1797C1" w14:textId="77777777" w:rsidR="0028503E" w:rsidRPr="00954B4F" w:rsidRDefault="0028503E" w:rsidP="00BF6FF1">
            <w:pPr>
              <w:rPr>
                <w:rFonts w:ascii="Arial" w:hAnsi="Arial" w:cs="Arial"/>
                <w:bCs/>
                <w:sz w:val="24"/>
                <w:szCs w:val="24"/>
              </w:rPr>
            </w:pPr>
            <w:r w:rsidRPr="00954B4F">
              <w:rPr>
                <w:rFonts w:ascii="Arial" w:hAnsi="Arial" w:cs="Arial"/>
                <w:sz w:val="24"/>
                <w:szCs w:val="24"/>
              </w:rPr>
              <w:t>£   220.00</w:t>
            </w:r>
          </w:p>
        </w:tc>
      </w:tr>
      <w:tr w:rsidR="0028503E" w:rsidRPr="00954B4F" w14:paraId="01D3DE2A" w14:textId="77777777" w:rsidTr="00954B4F">
        <w:trPr>
          <w:jc w:val="center"/>
        </w:trPr>
        <w:tc>
          <w:tcPr>
            <w:tcW w:w="1414" w:type="dxa"/>
          </w:tcPr>
          <w:p w14:paraId="5A8837B5"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36CDFB7D"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Vertas - Reade Field Maintenance (BACs)</w:t>
            </w:r>
          </w:p>
        </w:tc>
        <w:tc>
          <w:tcPr>
            <w:tcW w:w="1645" w:type="dxa"/>
          </w:tcPr>
          <w:p w14:paraId="1735B0FF" w14:textId="77777777" w:rsidR="0028503E" w:rsidRPr="00954B4F" w:rsidRDefault="0028503E" w:rsidP="00BF6FF1">
            <w:pPr>
              <w:rPr>
                <w:rFonts w:ascii="Arial" w:hAnsi="Arial" w:cs="Arial"/>
                <w:bCs/>
                <w:sz w:val="24"/>
                <w:szCs w:val="24"/>
              </w:rPr>
            </w:pPr>
            <w:r w:rsidRPr="00954B4F">
              <w:rPr>
                <w:rFonts w:ascii="Arial" w:hAnsi="Arial" w:cs="Arial"/>
                <w:sz w:val="24"/>
                <w:szCs w:val="24"/>
              </w:rPr>
              <w:t xml:space="preserve">£   284.40 </w:t>
            </w:r>
          </w:p>
        </w:tc>
      </w:tr>
      <w:tr w:rsidR="0028503E" w:rsidRPr="00954B4F" w14:paraId="4E8AF199" w14:textId="77777777" w:rsidTr="00954B4F">
        <w:trPr>
          <w:jc w:val="center"/>
        </w:trPr>
        <w:tc>
          <w:tcPr>
            <w:tcW w:w="1414" w:type="dxa"/>
          </w:tcPr>
          <w:p w14:paraId="37FE9539"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3CAF8CBE"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E.ON Next – Pavilion electricity (DD)</w:t>
            </w:r>
          </w:p>
        </w:tc>
        <w:tc>
          <w:tcPr>
            <w:tcW w:w="1645" w:type="dxa"/>
          </w:tcPr>
          <w:p w14:paraId="35B7281F" w14:textId="77777777" w:rsidR="0028503E" w:rsidRPr="00954B4F" w:rsidRDefault="0028503E" w:rsidP="00BF6FF1">
            <w:pPr>
              <w:rPr>
                <w:rFonts w:ascii="Arial" w:hAnsi="Arial" w:cs="Arial"/>
                <w:bCs/>
                <w:sz w:val="24"/>
                <w:szCs w:val="24"/>
              </w:rPr>
            </w:pPr>
            <w:r w:rsidRPr="00954B4F">
              <w:rPr>
                <w:rFonts w:ascii="Arial" w:hAnsi="Arial" w:cs="Arial"/>
                <w:sz w:val="24"/>
                <w:szCs w:val="24"/>
              </w:rPr>
              <w:t>£     49.61</w:t>
            </w:r>
          </w:p>
        </w:tc>
      </w:tr>
      <w:tr w:rsidR="0028503E" w:rsidRPr="00954B4F" w14:paraId="219F1E06" w14:textId="77777777" w:rsidTr="00954B4F">
        <w:trPr>
          <w:jc w:val="center"/>
        </w:trPr>
        <w:tc>
          <w:tcPr>
            <w:tcW w:w="1414" w:type="dxa"/>
          </w:tcPr>
          <w:p w14:paraId="4363473C"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52B09BAB"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WAVE - pavilion water (DD)</w:t>
            </w:r>
          </w:p>
        </w:tc>
        <w:tc>
          <w:tcPr>
            <w:tcW w:w="1645" w:type="dxa"/>
          </w:tcPr>
          <w:p w14:paraId="5C50C4EA" w14:textId="77777777" w:rsidR="0028503E" w:rsidRPr="00954B4F" w:rsidRDefault="0028503E" w:rsidP="00BF6FF1">
            <w:pPr>
              <w:rPr>
                <w:rFonts w:ascii="Arial" w:hAnsi="Arial" w:cs="Arial"/>
                <w:bCs/>
                <w:sz w:val="24"/>
                <w:szCs w:val="24"/>
              </w:rPr>
            </w:pPr>
            <w:r w:rsidRPr="00954B4F">
              <w:rPr>
                <w:rFonts w:ascii="Arial" w:hAnsi="Arial" w:cs="Arial"/>
                <w:sz w:val="24"/>
                <w:szCs w:val="24"/>
              </w:rPr>
              <w:t>£     39.85</w:t>
            </w:r>
          </w:p>
        </w:tc>
      </w:tr>
      <w:tr w:rsidR="0028503E" w:rsidRPr="00954B4F" w14:paraId="6F624B8A" w14:textId="77777777" w:rsidTr="00954B4F">
        <w:trPr>
          <w:jc w:val="center"/>
        </w:trPr>
        <w:tc>
          <w:tcPr>
            <w:tcW w:w="1414" w:type="dxa"/>
          </w:tcPr>
          <w:p w14:paraId="704F9DED"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396A6D75"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Holbrook &amp; District Pre-School Playgroup – grant (BACs)</w:t>
            </w:r>
          </w:p>
        </w:tc>
        <w:tc>
          <w:tcPr>
            <w:tcW w:w="1645" w:type="dxa"/>
          </w:tcPr>
          <w:p w14:paraId="42F5EBC2" w14:textId="77777777" w:rsidR="0028503E" w:rsidRPr="00954B4F" w:rsidRDefault="0028503E" w:rsidP="00BF6FF1">
            <w:pPr>
              <w:rPr>
                <w:rFonts w:ascii="Arial" w:hAnsi="Arial" w:cs="Arial"/>
                <w:bCs/>
                <w:sz w:val="24"/>
                <w:szCs w:val="24"/>
              </w:rPr>
            </w:pPr>
            <w:r w:rsidRPr="00954B4F">
              <w:rPr>
                <w:rFonts w:ascii="Arial" w:hAnsi="Arial" w:cs="Arial"/>
                <w:sz w:val="24"/>
                <w:szCs w:val="24"/>
              </w:rPr>
              <w:t>£   200.00</w:t>
            </w:r>
          </w:p>
        </w:tc>
      </w:tr>
      <w:tr w:rsidR="0028503E" w:rsidRPr="00954B4F" w14:paraId="48AA52D3" w14:textId="77777777" w:rsidTr="00954B4F">
        <w:trPr>
          <w:jc w:val="center"/>
        </w:trPr>
        <w:tc>
          <w:tcPr>
            <w:tcW w:w="1414" w:type="dxa"/>
          </w:tcPr>
          <w:p w14:paraId="28F8D3B6"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6CDEBA37"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SALC – Training (BACs)</w:t>
            </w:r>
          </w:p>
        </w:tc>
        <w:tc>
          <w:tcPr>
            <w:tcW w:w="1645" w:type="dxa"/>
          </w:tcPr>
          <w:p w14:paraId="379ACCA9" w14:textId="77777777" w:rsidR="0028503E" w:rsidRPr="00954B4F" w:rsidRDefault="0028503E" w:rsidP="00BF6FF1">
            <w:pPr>
              <w:rPr>
                <w:rFonts w:ascii="Arial" w:hAnsi="Arial" w:cs="Arial"/>
                <w:bCs/>
                <w:sz w:val="24"/>
                <w:szCs w:val="24"/>
              </w:rPr>
            </w:pPr>
            <w:r w:rsidRPr="00954B4F">
              <w:rPr>
                <w:rFonts w:ascii="Arial" w:hAnsi="Arial" w:cs="Arial"/>
                <w:sz w:val="24"/>
                <w:szCs w:val="24"/>
              </w:rPr>
              <w:t>£     42.00</w:t>
            </w:r>
          </w:p>
        </w:tc>
      </w:tr>
      <w:tr w:rsidR="0028503E" w:rsidRPr="00954B4F" w14:paraId="2CBCEBEA" w14:textId="77777777" w:rsidTr="00954B4F">
        <w:trPr>
          <w:jc w:val="center"/>
        </w:trPr>
        <w:tc>
          <w:tcPr>
            <w:tcW w:w="1414" w:type="dxa"/>
          </w:tcPr>
          <w:p w14:paraId="493843EA"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0E924AFE"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Suffolk Wildlife Trust – subscription  (BACs)</w:t>
            </w:r>
          </w:p>
        </w:tc>
        <w:tc>
          <w:tcPr>
            <w:tcW w:w="1645" w:type="dxa"/>
          </w:tcPr>
          <w:p w14:paraId="1D53A3BB" w14:textId="77777777" w:rsidR="0028503E" w:rsidRPr="00954B4F" w:rsidRDefault="0028503E" w:rsidP="00BF6FF1">
            <w:pPr>
              <w:rPr>
                <w:rFonts w:ascii="Arial" w:hAnsi="Arial" w:cs="Arial"/>
                <w:bCs/>
                <w:sz w:val="24"/>
                <w:szCs w:val="24"/>
              </w:rPr>
            </w:pPr>
            <w:r w:rsidRPr="00954B4F">
              <w:rPr>
                <w:rFonts w:ascii="Arial" w:hAnsi="Arial" w:cs="Arial"/>
                <w:sz w:val="24"/>
                <w:szCs w:val="24"/>
              </w:rPr>
              <w:t>£     38.00</w:t>
            </w:r>
          </w:p>
        </w:tc>
      </w:tr>
      <w:tr w:rsidR="0028503E" w:rsidRPr="00954B4F" w14:paraId="373C5948" w14:textId="77777777" w:rsidTr="00954B4F">
        <w:trPr>
          <w:trHeight w:val="288"/>
          <w:jc w:val="center"/>
        </w:trPr>
        <w:tc>
          <w:tcPr>
            <w:tcW w:w="1414" w:type="dxa"/>
          </w:tcPr>
          <w:p w14:paraId="66B34593" w14:textId="77777777" w:rsidR="0028503E" w:rsidRPr="00954B4F" w:rsidRDefault="0028503E" w:rsidP="00BF6FF1">
            <w:pPr>
              <w:jc w:val="both"/>
              <w:rPr>
                <w:rFonts w:ascii="Arial" w:hAnsi="Arial" w:cs="Arial"/>
                <w:bCs/>
                <w:sz w:val="24"/>
                <w:szCs w:val="24"/>
              </w:rPr>
            </w:pPr>
            <w:r w:rsidRPr="00954B4F">
              <w:rPr>
                <w:rFonts w:ascii="Arial" w:hAnsi="Arial"/>
                <w:sz w:val="24"/>
                <w:szCs w:val="24"/>
              </w:rPr>
              <w:t>21.05.24</w:t>
            </w:r>
          </w:p>
        </w:tc>
        <w:tc>
          <w:tcPr>
            <w:tcW w:w="5956" w:type="dxa"/>
          </w:tcPr>
          <w:p w14:paraId="068102E1"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SARS – grant (Debit card)</w:t>
            </w:r>
          </w:p>
        </w:tc>
        <w:tc>
          <w:tcPr>
            <w:tcW w:w="1645" w:type="dxa"/>
          </w:tcPr>
          <w:p w14:paraId="1E58297D" w14:textId="77777777" w:rsidR="0028503E" w:rsidRPr="00954B4F" w:rsidRDefault="0028503E" w:rsidP="00BF6FF1">
            <w:pPr>
              <w:rPr>
                <w:rFonts w:ascii="Arial" w:hAnsi="Arial" w:cs="Arial"/>
                <w:bCs/>
                <w:sz w:val="24"/>
                <w:szCs w:val="24"/>
              </w:rPr>
            </w:pPr>
            <w:r w:rsidRPr="00954B4F">
              <w:rPr>
                <w:rFonts w:ascii="Arial" w:hAnsi="Arial" w:cs="Arial"/>
                <w:sz w:val="24"/>
                <w:szCs w:val="24"/>
              </w:rPr>
              <w:t>£     25.00</w:t>
            </w:r>
          </w:p>
        </w:tc>
      </w:tr>
      <w:tr w:rsidR="0028503E" w:rsidRPr="00954B4F" w14:paraId="1171B298" w14:textId="77777777" w:rsidTr="00954B4F">
        <w:trPr>
          <w:trHeight w:val="288"/>
          <w:jc w:val="center"/>
        </w:trPr>
        <w:tc>
          <w:tcPr>
            <w:tcW w:w="1414" w:type="dxa"/>
          </w:tcPr>
          <w:p w14:paraId="2139F3D4"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474BC93B"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Open Spaces – subscription (BACs)</w:t>
            </w:r>
          </w:p>
        </w:tc>
        <w:tc>
          <w:tcPr>
            <w:tcW w:w="1645" w:type="dxa"/>
          </w:tcPr>
          <w:p w14:paraId="4173C5A2" w14:textId="77777777" w:rsidR="0028503E" w:rsidRPr="00954B4F" w:rsidRDefault="0028503E" w:rsidP="00BF6FF1">
            <w:pPr>
              <w:rPr>
                <w:rFonts w:ascii="Arial" w:hAnsi="Arial" w:cs="Arial"/>
                <w:bCs/>
                <w:sz w:val="24"/>
                <w:szCs w:val="24"/>
              </w:rPr>
            </w:pPr>
            <w:r w:rsidRPr="00954B4F">
              <w:rPr>
                <w:rFonts w:ascii="Arial" w:hAnsi="Arial" w:cs="Arial"/>
                <w:sz w:val="24"/>
                <w:szCs w:val="24"/>
              </w:rPr>
              <w:t>£     45.00</w:t>
            </w:r>
          </w:p>
        </w:tc>
      </w:tr>
      <w:tr w:rsidR="0028503E" w:rsidRPr="00954B4F" w14:paraId="12CEAFA2" w14:textId="77777777" w:rsidTr="00954B4F">
        <w:trPr>
          <w:trHeight w:val="288"/>
          <w:jc w:val="center"/>
        </w:trPr>
        <w:tc>
          <w:tcPr>
            <w:tcW w:w="1414" w:type="dxa"/>
          </w:tcPr>
          <w:p w14:paraId="51DD236C" w14:textId="77777777" w:rsidR="0028503E" w:rsidRPr="00954B4F" w:rsidRDefault="0028503E" w:rsidP="00BF6FF1">
            <w:pPr>
              <w:jc w:val="both"/>
              <w:rPr>
                <w:rFonts w:ascii="Arial" w:hAnsi="Arial" w:cs="Arial"/>
                <w:bCs/>
                <w:sz w:val="24"/>
                <w:szCs w:val="24"/>
              </w:rPr>
            </w:pPr>
            <w:r w:rsidRPr="00954B4F">
              <w:rPr>
                <w:rFonts w:ascii="Arial" w:hAnsi="Arial"/>
                <w:sz w:val="24"/>
                <w:szCs w:val="24"/>
              </w:rPr>
              <w:t>21.05.24</w:t>
            </w:r>
          </w:p>
        </w:tc>
        <w:tc>
          <w:tcPr>
            <w:tcW w:w="5956" w:type="dxa"/>
          </w:tcPr>
          <w:p w14:paraId="2BA4B489"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CAS – subscription (BACs)</w:t>
            </w:r>
          </w:p>
        </w:tc>
        <w:tc>
          <w:tcPr>
            <w:tcW w:w="1645" w:type="dxa"/>
          </w:tcPr>
          <w:p w14:paraId="68AEBE7D" w14:textId="77777777" w:rsidR="0028503E" w:rsidRPr="00954B4F" w:rsidRDefault="0028503E" w:rsidP="00BF6FF1">
            <w:pPr>
              <w:rPr>
                <w:rFonts w:ascii="Arial" w:hAnsi="Arial" w:cs="Arial"/>
                <w:bCs/>
                <w:sz w:val="24"/>
                <w:szCs w:val="24"/>
              </w:rPr>
            </w:pPr>
            <w:r w:rsidRPr="00954B4F">
              <w:rPr>
                <w:rFonts w:ascii="Arial" w:hAnsi="Arial" w:cs="Arial"/>
                <w:sz w:val="24"/>
                <w:szCs w:val="24"/>
              </w:rPr>
              <w:t>£     30.00</w:t>
            </w:r>
          </w:p>
        </w:tc>
      </w:tr>
      <w:tr w:rsidR="0028503E" w:rsidRPr="00954B4F" w14:paraId="2E5CA251" w14:textId="77777777" w:rsidTr="00954B4F">
        <w:trPr>
          <w:trHeight w:val="288"/>
          <w:jc w:val="center"/>
        </w:trPr>
        <w:tc>
          <w:tcPr>
            <w:tcW w:w="1414" w:type="dxa"/>
          </w:tcPr>
          <w:p w14:paraId="1E3494BF" w14:textId="77777777" w:rsidR="0028503E" w:rsidRPr="00954B4F" w:rsidRDefault="0028503E" w:rsidP="00BF6FF1">
            <w:pPr>
              <w:jc w:val="both"/>
              <w:rPr>
                <w:rFonts w:ascii="Arial" w:hAnsi="Arial" w:cs="Arial"/>
                <w:bCs/>
                <w:sz w:val="24"/>
                <w:szCs w:val="24"/>
              </w:rPr>
            </w:pPr>
            <w:r w:rsidRPr="00954B4F">
              <w:rPr>
                <w:rFonts w:ascii="Arial" w:hAnsi="Arial"/>
                <w:sz w:val="24"/>
                <w:szCs w:val="24"/>
              </w:rPr>
              <w:t>21.05.24</w:t>
            </w:r>
          </w:p>
        </w:tc>
        <w:tc>
          <w:tcPr>
            <w:tcW w:w="5956" w:type="dxa"/>
          </w:tcPr>
          <w:p w14:paraId="623B3462"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Suffolk Preservation Society – subscription (BACs)</w:t>
            </w:r>
          </w:p>
        </w:tc>
        <w:tc>
          <w:tcPr>
            <w:tcW w:w="1645" w:type="dxa"/>
          </w:tcPr>
          <w:p w14:paraId="14557B01" w14:textId="77777777" w:rsidR="0028503E" w:rsidRPr="00954B4F" w:rsidRDefault="0028503E" w:rsidP="00BF6FF1">
            <w:pPr>
              <w:rPr>
                <w:rFonts w:ascii="Arial" w:hAnsi="Arial" w:cs="Arial"/>
                <w:bCs/>
                <w:sz w:val="24"/>
                <w:szCs w:val="24"/>
              </w:rPr>
            </w:pPr>
            <w:r w:rsidRPr="00954B4F">
              <w:rPr>
                <w:rFonts w:ascii="Arial" w:hAnsi="Arial" w:cs="Arial"/>
                <w:sz w:val="24"/>
                <w:szCs w:val="24"/>
              </w:rPr>
              <w:t>£     30.00</w:t>
            </w:r>
          </w:p>
        </w:tc>
      </w:tr>
      <w:tr w:rsidR="0028503E" w:rsidRPr="00954B4F" w14:paraId="30EC90AF" w14:textId="77777777" w:rsidTr="00954B4F">
        <w:trPr>
          <w:trHeight w:val="288"/>
          <w:jc w:val="center"/>
        </w:trPr>
        <w:tc>
          <w:tcPr>
            <w:tcW w:w="1414" w:type="dxa"/>
          </w:tcPr>
          <w:p w14:paraId="32CBC5CF"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4E705B82"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All Saints PCC = grant (BACs)</w:t>
            </w:r>
          </w:p>
        </w:tc>
        <w:tc>
          <w:tcPr>
            <w:tcW w:w="1645" w:type="dxa"/>
          </w:tcPr>
          <w:p w14:paraId="477364BD" w14:textId="77777777" w:rsidR="0028503E" w:rsidRPr="00954B4F" w:rsidRDefault="0028503E" w:rsidP="00BF6FF1">
            <w:pPr>
              <w:rPr>
                <w:rFonts w:ascii="Arial" w:hAnsi="Arial" w:cs="Arial"/>
                <w:bCs/>
                <w:sz w:val="24"/>
                <w:szCs w:val="24"/>
              </w:rPr>
            </w:pPr>
            <w:r w:rsidRPr="00954B4F">
              <w:rPr>
                <w:rFonts w:ascii="Arial" w:hAnsi="Arial" w:cs="Arial"/>
                <w:sz w:val="24"/>
                <w:szCs w:val="24"/>
              </w:rPr>
              <w:t>£    500.00</w:t>
            </w:r>
          </w:p>
        </w:tc>
      </w:tr>
      <w:tr w:rsidR="0028503E" w:rsidRPr="00954B4F" w14:paraId="20D54EC6" w14:textId="77777777" w:rsidTr="00954B4F">
        <w:trPr>
          <w:trHeight w:val="288"/>
          <w:jc w:val="center"/>
        </w:trPr>
        <w:tc>
          <w:tcPr>
            <w:tcW w:w="1414" w:type="dxa"/>
          </w:tcPr>
          <w:p w14:paraId="7E77643C"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454D49C2"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Stutton &amp; Holbrook First Responders – Grant (cheque)</w:t>
            </w:r>
          </w:p>
        </w:tc>
        <w:tc>
          <w:tcPr>
            <w:tcW w:w="1645" w:type="dxa"/>
          </w:tcPr>
          <w:p w14:paraId="411369F9" w14:textId="77777777" w:rsidR="0028503E" w:rsidRPr="00954B4F" w:rsidRDefault="0028503E" w:rsidP="00BF6FF1">
            <w:pPr>
              <w:rPr>
                <w:rFonts w:ascii="Arial" w:hAnsi="Arial" w:cs="Arial"/>
                <w:bCs/>
                <w:sz w:val="24"/>
                <w:szCs w:val="24"/>
              </w:rPr>
            </w:pPr>
            <w:r w:rsidRPr="00954B4F">
              <w:rPr>
                <w:rFonts w:ascii="Arial" w:hAnsi="Arial" w:cs="Arial"/>
                <w:sz w:val="24"/>
                <w:szCs w:val="24"/>
              </w:rPr>
              <w:t>£    100.00</w:t>
            </w:r>
          </w:p>
        </w:tc>
      </w:tr>
      <w:tr w:rsidR="0028503E" w:rsidRPr="00954B4F" w14:paraId="427BBC29" w14:textId="77777777" w:rsidTr="00954B4F">
        <w:trPr>
          <w:trHeight w:val="288"/>
          <w:jc w:val="center"/>
        </w:trPr>
        <w:tc>
          <w:tcPr>
            <w:tcW w:w="1414" w:type="dxa"/>
          </w:tcPr>
          <w:p w14:paraId="323BC930"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3AA20650"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 xml:space="preserve">Mark Thompson – fitness classes (BACs) </w:t>
            </w:r>
          </w:p>
        </w:tc>
        <w:tc>
          <w:tcPr>
            <w:tcW w:w="1645" w:type="dxa"/>
          </w:tcPr>
          <w:p w14:paraId="74D8F6AA" w14:textId="77777777" w:rsidR="0028503E" w:rsidRPr="00954B4F" w:rsidRDefault="0028503E" w:rsidP="00BF6FF1">
            <w:pPr>
              <w:rPr>
                <w:rFonts w:ascii="Arial" w:hAnsi="Arial" w:cs="Arial"/>
                <w:bCs/>
                <w:sz w:val="24"/>
                <w:szCs w:val="24"/>
              </w:rPr>
            </w:pPr>
            <w:r w:rsidRPr="00954B4F">
              <w:rPr>
                <w:rFonts w:ascii="Arial" w:hAnsi="Arial" w:cs="Arial"/>
                <w:sz w:val="24"/>
                <w:szCs w:val="24"/>
              </w:rPr>
              <w:t>£    250.00</w:t>
            </w:r>
          </w:p>
        </w:tc>
      </w:tr>
      <w:tr w:rsidR="0028503E" w:rsidRPr="00954B4F" w14:paraId="29FB7AA3" w14:textId="77777777" w:rsidTr="00954B4F">
        <w:trPr>
          <w:trHeight w:val="288"/>
          <w:jc w:val="center"/>
        </w:trPr>
        <w:tc>
          <w:tcPr>
            <w:tcW w:w="1414" w:type="dxa"/>
          </w:tcPr>
          <w:p w14:paraId="1FEE5A05"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16004597"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Lottery 1</w:t>
            </w:r>
            <w:r w:rsidRPr="00954B4F">
              <w:rPr>
                <w:rFonts w:ascii="Arial" w:hAnsi="Arial" w:cs="Arial"/>
                <w:sz w:val="24"/>
                <w:szCs w:val="24"/>
                <w:vertAlign w:val="superscript"/>
              </w:rPr>
              <w:t>st</w:t>
            </w:r>
            <w:r w:rsidRPr="00954B4F">
              <w:rPr>
                <w:rFonts w:ascii="Arial" w:hAnsi="Arial" w:cs="Arial"/>
                <w:sz w:val="24"/>
                <w:szCs w:val="24"/>
              </w:rPr>
              <w:t xml:space="preserve"> Prize (BACs) </w:t>
            </w:r>
          </w:p>
        </w:tc>
        <w:tc>
          <w:tcPr>
            <w:tcW w:w="1645" w:type="dxa"/>
          </w:tcPr>
          <w:p w14:paraId="237A682E" w14:textId="77777777" w:rsidR="0028503E" w:rsidRPr="00954B4F" w:rsidRDefault="0028503E" w:rsidP="00BF6FF1">
            <w:pPr>
              <w:rPr>
                <w:rFonts w:ascii="Arial" w:hAnsi="Arial" w:cs="Arial"/>
                <w:bCs/>
                <w:sz w:val="24"/>
                <w:szCs w:val="24"/>
              </w:rPr>
            </w:pPr>
            <w:r w:rsidRPr="00954B4F">
              <w:rPr>
                <w:rFonts w:ascii="Arial" w:hAnsi="Arial" w:cs="Arial"/>
                <w:sz w:val="24"/>
                <w:szCs w:val="24"/>
              </w:rPr>
              <w:t>£      21.50</w:t>
            </w:r>
          </w:p>
        </w:tc>
      </w:tr>
      <w:tr w:rsidR="0028503E" w:rsidRPr="00954B4F" w14:paraId="4C0A1F24" w14:textId="77777777" w:rsidTr="00954B4F">
        <w:trPr>
          <w:trHeight w:val="288"/>
          <w:jc w:val="center"/>
        </w:trPr>
        <w:tc>
          <w:tcPr>
            <w:tcW w:w="1414" w:type="dxa"/>
          </w:tcPr>
          <w:p w14:paraId="2F9C9575"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251E85F8"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Lottery 2</w:t>
            </w:r>
            <w:r w:rsidRPr="00954B4F">
              <w:rPr>
                <w:rFonts w:ascii="Arial" w:hAnsi="Arial" w:cs="Arial"/>
                <w:sz w:val="24"/>
                <w:szCs w:val="24"/>
                <w:vertAlign w:val="superscript"/>
              </w:rPr>
              <w:t>nd</w:t>
            </w:r>
            <w:r w:rsidRPr="00954B4F">
              <w:rPr>
                <w:rFonts w:ascii="Arial" w:hAnsi="Arial" w:cs="Arial"/>
                <w:sz w:val="24"/>
                <w:szCs w:val="24"/>
              </w:rPr>
              <w:t xml:space="preserve"> Prize (cheque)</w:t>
            </w:r>
          </w:p>
        </w:tc>
        <w:tc>
          <w:tcPr>
            <w:tcW w:w="1645" w:type="dxa"/>
          </w:tcPr>
          <w:p w14:paraId="1F06341E" w14:textId="77777777" w:rsidR="0028503E" w:rsidRPr="00954B4F" w:rsidRDefault="0028503E" w:rsidP="00BF6FF1">
            <w:pPr>
              <w:rPr>
                <w:rFonts w:ascii="Arial" w:hAnsi="Arial" w:cs="Arial"/>
                <w:bCs/>
                <w:sz w:val="24"/>
                <w:szCs w:val="24"/>
              </w:rPr>
            </w:pPr>
            <w:r w:rsidRPr="00954B4F">
              <w:rPr>
                <w:rFonts w:ascii="Arial" w:hAnsi="Arial" w:cs="Arial"/>
                <w:sz w:val="24"/>
                <w:szCs w:val="24"/>
              </w:rPr>
              <w:t>£      12.90</w:t>
            </w:r>
          </w:p>
        </w:tc>
      </w:tr>
      <w:tr w:rsidR="0028503E" w:rsidRPr="00954B4F" w14:paraId="4713A152" w14:textId="77777777" w:rsidTr="00954B4F">
        <w:trPr>
          <w:trHeight w:val="288"/>
          <w:jc w:val="center"/>
        </w:trPr>
        <w:tc>
          <w:tcPr>
            <w:tcW w:w="1414" w:type="dxa"/>
          </w:tcPr>
          <w:p w14:paraId="3B59836B"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74136374"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Lottery 3</w:t>
            </w:r>
            <w:r w:rsidRPr="00954B4F">
              <w:rPr>
                <w:rFonts w:ascii="Arial" w:hAnsi="Arial" w:cs="Arial"/>
                <w:sz w:val="24"/>
                <w:szCs w:val="24"/>
                <w:vertAlign w:val="superscript"/>
              </w:rPr>
              <w:t>rd</w:t>
            </w:r>
            <w:r w:rsidRPr="00954B4F">
              <w:rPr>
                <w:rFonts w:ascii="Arial" w:hAnsi="Arial" w:cs="Arial"/>
                <w:sz w:val="24"/>
                <w:szCs w:val="24"/>
              </w:rPr>
              <w:t xml:space="preserve"> Prize (cheque)</w:t>
            </w:r>
          </w:p>
        </w:tc>
        <w:tc>
          <w:tcPr>
            <w:tcW w:w="1645" w:type="dxa"/>
          </w:tcPr>
          <w:p w14:paraId="26DB5333" w14:textId="77777777" w:rsidR="0028503E" w:rsidRPr="00954B4F" w:rsidRDefault="0028503E" w:rsidP="00BF6FF1">
            <w:pPr>
              <w:rPr>
                <w:rFonts w:ascii="Arial" w:hAnsi="Arial" w:cs="Arial"/>
                <w:bCs/>
                <w:sz w:val="24"/>
                <w:szCs w:val="24"/>
              </w:rPr>
            </w:pPr>
            <w:r w:rsidRPr="00954B4F">
              <w:rPr>
                <w:rFonts w:ascii="Arial" w:hAnsi="Arial" w:cs="Arial"/>
                <w:sz w:val="24"/>
                <w:szCs w:val="24"/>
              </w:rPr>
              <w:t>£        8.60</w:t>
            </w:r>
          </w:p>
        </w:tc>
      </w:tr>
      <w:tr w:rsidR="0028503E" w:rsidRPr="00954B4F" w14:paraId="53B9B483" w14:textId="77777777" w:rsidTr="00954B4F">
        <w:trPr>
          <w:trHeight w:val="288"/>
          <w:jc w:val="center"/>
        </w:trPr>
        <w:tc>
          <w:tcPr>
            <w:tcW w:w="1414" w:type="dxa"/>
          </w:tcPr>
          <w:p w14:paraId="57209FCE"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21.05.24</w:t>
            </w:r>
          </w:p>
        </w:tc>
        <w:tc>
          <w:tcPr>
            <w:tcW w:w="5956" w:type="dxa"/>
          </w:tcPr>
          <w:p w14:paraId="199F7396" w14:textId="77777777" w:rsidR="0028503E" w:rsidRPr="00954B4F" w:rsidRDefault="0028503E" w:rsidP="00BF6FF1">
            <w:pPr>
              <w:jc w:val="both"/>
              <w:rPr>
                <w:rFonts w:ascii="Arial" w:hAnsi="Arial" w:cs="Arial"/>
                <w:bCs/>
                <w:sz w:val="24"/>
                <w:szCs w:val="24"/>
              </w:rPr>
            </w:pPr>
            <w:r w:rsidRPr="00954B4F">
              <w:rPr>
                <w:rFonts w:ascii="Arial" w:hAnsi="Arial" w:cs="Arial"/>
                <w:sz w:val="24"/>
                <w:szCs w:val="24"/>
              </w:rPr>
              <w:t>SLCC – Annual subscription (BACs)</w:t>
            </w:r>
          </w:p>
        </w:tc>
        <w:tc>
          <w:tcPr>
            <w:tcW w:w="1645" w:type="dxa"/>
          </w:tcPr>
          <w:p w14:paraId="1521FB7D" w14:textId="77777777" w:rsidR="0028503E" w:rsidRPr="00954B4F" w:rsidRDefault="0028503E" w:rsidP="00BF6FF1">
            <w:pPr>
              <w:rPr>
                <w:rFonts w:ascii="Arial" w:hAnsi="Arial" w:cs="Arial"/>
                <w:bCs/>
                <w:sz w:val="24"/>
                <w:szCs w:val="24"/>
              </w:rPr>
            </w:pPr>
            <w:r w:rsidRPr="00954B4F">
              <w:rPr>
                <w:rFonts w:ascii="Arial" w:hAnsi="Arial" w:cs="Arial"/>
                <w:sz w:val="24"/>
                <w:szCs w:val="24"/>
              </w:rPr>
              <w:t>£    183.00</w:t>
            </w:r>
          </w:p>
        </w:tc>
      </w:tr>
    </w:tbl>
    <w:p w14:paraId="1341038F" w14:textId="3AA38D57" w:rsidR="001F06C7" w:rsidRDefault="001F06C7" w:rsidP="0059165E">
      <w:pPr>
        <w:spacing w:after="0"/>
        <w:jc w:val="center"/>
        <w:rPr>
          <w:rFonts w:ascii="Arial" w:hAnsi="Arial" w:cs="Arial"/>
          <w:b/>
          <w:noProof/>
        </w:rPr>
      </w:pPr>
    </w:p>
    <w:p w14:paraId="47021B5D" w14:textId="77777777" w:rsidR="00954B4F" w:rsidRDefault="00954B4F" w:rsidP="0059165E">
      <w:pPr>
        <w:spacing w:after="0"/>
        <w:jc w:val="center"/>
        <w:rPr>
          <w:rFonts w:ascii="Arial" w:hAnsi="Arial" w:cs="Arial"/>
          <w:b/>
          <w:noProof/>
        </w:rPr>
      </w:pPr>
    </w:p>
    <w:p w14:paraId="5F1E657E" w14:textId="4CC8795B" w:rsidR="00954B4F" w:rsidRDefault="00954B4F" w:rsidP="0059165E">
      <w:pPr>
        <w:spacing w:after="0"/>
        <w:jc w:val="center"/>
        <w:rPr>
          <w:rFonts w:ascii="Arial" w:hAnsi="Arial" w:cs="Arial"/>
          <w:b/>
        </w:rPr>
      </w:pPr>
      <w:r>
        <w:rPr>
          <w:rFonts w:ascii="Arial" w:hAnsi="Arial" w:cs="Arial"/>
          <w:b/>
          <w:noProof/>
        </w:rPr>
        <w:t>Bank Rec overleaf</w:t>
      </w:r>
    </w:p>
    <w:p w14:paraId="02C25098" w14:textId="69C0071E" w:rsidR="00E82FD5" w:rsidRDefault="00D365F8" w:rsidP="00C465FD">
      <w:pPr>
        <w:spacing w:after="0"/>
        <w:jc w:val="center"/>
        <w:rPr>
          <w:rFonts w:ascii="Arial" w:hAnsi="Arial" w:cs="Arial"/>
          <w:b/>
        </w:rPr>
      </w:pPr>
      <w:r w:rsidRPr="00D365F8">
        <w:rPr>
          <w:rFonts w:ascii="Arial" w:hAnsi="Arial" w:cs="Arial"/>
          <w:b/>
          <w:noProof/>
        </w:rPr>
        <w:lastRenderedPageBreak/>
        <w:drawing>
          <wp:inline distT="0" distB="0" distL="0" distR="0" wp14:anchorId="3021EB0B" wp14:editId="59749D36">
            <wp:extent cx="5721350" cy="6108700"/>
            <wp:effectExtent l="0" t="0" r="0" b="6350"/>
            <wp:docPr id="974391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0" cy="6108700"/>
                    </a:xfrm>
                    <a:prstGeom prst="rect">
                      <a:avLst/>
                    </a:prstGeom>
                    <a:noFill/>
                    <a:ln>
                      <a:noFill/>
                    </a:ln>
                  </pic:spPr>
                </pic:pic>
              </a:graphicData>
            </a:graphic>
          </wp:inline>
        </w:drawing>
      </w:r>
    </w:p>
    <w:p w14:paraId="03A5AB36" w14:textId="6CED297B" w:rsidR="00207DE1" w:rsidRPr="000D1F17" w:rsidRDefault="00207DE1" w:rsidP="0059165E">
      <w:pPr>
        <w:spacing w:after="0"/>
        <w:jc w:val="center"/>
        <w:rPr>
          <w:rFonts w:ascii="Arial" w:hAnsi="Arial" w:cs="Arial"/>
          <w:b/>
        </w:rPr>
      </w:pPr>
    </w:p>
    <w:bookmarkEnd w:id="0"/>
    <w:tbl>
      <w:tblPr>
        <w:tblW w:w="15667" w:type="dxa"/>
        <w:tblInd w:w="-851" w:type="dxa"/>
        <w:tblLayout w:type="fixed"/>
        <w:tblLook w:val="0000" w:firstRow="0" w:lastRow="0" w:firstColumn="0" w:lastColumn="0" w:noHBand="0" w:noVBand="0"/>
      </w:tblPr>
      <w:tblGrid>
        <w:gridCol w:w="10915"/>
        <w:gridCol w:w="4752"/>
      </w:tblGrid>
      <w:tr w:rsidR="00071882" w14:paraId="2F6E585F" w14:textId="77777777" w:rsidTr="00A576C8">
        <w:trPr>
          <w:trHeight w:val="302"/>
        </w:trPr>
        <w:tc>
          <w:tcPr>
            <w:tcW w:w="10915" w:type="dxa"/>
            <w:tcBorders>
              <w:top w:val="nil"/>
              <w:left w:val="nil"/>
              <w:bottom w:val="nil"/>
              <w:right w:val="nil"/>
            </w:tcBorders>
          </w:tcPr>
          <w:p w14:paraId="28E21AF0" w14:textId="0BA77501" w:rsidR="00203639" w:rsidRDefault="00203639" w:rsidP="00C67987">
            <w:pPr>
              <w:autoSpaceDE w:val="0"/>
              <w:autoSpaceDN w:val="0"/>
              <w:adjustRightInd w:val="0"/>
              <w:spacing w:after="0" w:line="240" w:lineRule="auto"/>
              <w:ind w:left="720"/>
              <w:rPr>
                <w:rFonts w:ascii="Calibri" w:hAnsi="Calibri" w:cs="Calibri"/>
                <w:color w:val="000000"/>
              </w:rPr>
            </w:pPr>
          </w:p>
        </w:tc>
        <w:tc>
          <w:tcPr>
            <w:tcW w:w="4752" w:type="dxa"/>
            <w:tcBorders>
              <w:top w:val="nil"/>
              <w:left w:val="nil"/>
              <w:bottom w:val="nil"/>
              <w:right w:val="nil"/>
            </w:tcBorders>
          </w:tcPr>
          <w:p w14:paraId="27883537" w14:textId="77777777" w:rsidR="00071882" w:rsidRDefault="00071882">
            <w:pPr>
              <w:autoSpaceDE w:val="0"/>
              <w:autoSpaceDN w:val="0"/>
              <w:adjustRightInd w:val="0"/>
              <w:spacing w:after="0" w:line="240" w:lineRule="auto"/>
              <w:jc w:val="right"/>
              <w:rPr>
                <w:rFonts w:ascii="Calibri" w:hAnsi="Calibri" w:cs="Calibri"/>
                <w:color w:val="000000"/>
              </w:rPr>
            </w:pPr>
          </w:p>
        </w:tc>
      </w:tr>
    </w:tbl>
    <w:p w14:paraId="63B62E59" w14:textId="2193CE62" w:rsidR="003B74B1" w:rsidRDefault="00284FD5" w:rsidP="003B74B1">
      <w:pPr>
        <w:jc w:val="center"/>
        <w:rPr>
          <w:rFonts w:ascii="Arial" w:hAnsi="Arial" w:cs="Arial"/>
          <w:b/>
          <w:bCs/>
          <w:noProof/>
        </w:rPr>
      </w:pPr>
      <w:r w:rsidRPr="00284FD5">
        <w:rPr>
          <w:rFonts w:ascii="Arial" w:hAnsi="Arial" w:cs="Arial"/>
          <w:b/>
          <w:bCs/>
          <w:noProof/>
        </w:rPr>
        <w:drawing>
          <wp:inline distT="0" distB="0" distL="0" distR="0" wp14:anchorId="33DE9B5E" wp14:editId="579245FD">
            <wp:extent cx="5697220" cy="10295890"/>
            <wp:effectExtent l="0" t="0" r="0" b="0"/>
            <wp:docPr id="1841583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7220" cy="10295890"/>
                    </a:xfrm>
                    <a:prstGeom prst="rect">
                      <a:avLst/>
                    </a:prstGeom>
                    <a:noFill/>
                    <a:ln>
                      <a:noFill/>
                    </a:ln>
                  </pic:spPr>
                </pic:pic>
              </a:graphicData>
            </a:graphic>
          </wp:inline>
        </w:drawing>
      </w:r>
    </w:p>
    <w:p w14:paraId="7537FAD0" w14:textId="77777777" w:rsidR="003B74B1" w:rsidRDefault="003B74B1" w:rsidP="003B74B1">
      <w:pPr>
        <w:jc w:val="center"/>
        <w:rPr>
          <w:rFonts w:ascii="Arial" w:hAnsi="Arial" w:cs="Arial"/>
          <w:b/>
          <w:bCs/>
          <w:noProof/>
        </w:rPr>
      </w:pPr>
    </w:p>
    <w:p w14:paraId="784492BB" w14:textId="5F1CF6E1" w:rsidR="00B81786" w:rsidRPr="00F91521" w:rsidRDefault="00B81786" w:rsidP="003B74B1">
      <w:pPr>
        <w:jc w:val="center"/>
        <w:rPr>
          <w:rFonts w:ascii="Arial" w:hAnsi="Arial" w:cs="Arial"/>
          <w:b/>
          <w:bCs/>
          <w:noProof/>
        </w:rPr>
      </w:pPr>
      <w:r w:rsidRPr="00F91521">
        <w:rPr>
          <w:rFonts w:ascii="Arial" w:hAnsi="Arial" w:cs="Arial"/>
          <w:b/>
          <w:bCs/>
          <w:noProof/>
        </w:rPr>
        <w:t>ADDITIONAL COMMENTARY</w:t>
      </w:r>
    </w:p>
    <w:p w14:paraId="6ECD7E84" w14:textId="0999604C" w:rsidR="00986589" w:rsidRPr="00F91521" w:rsidRDefault="00986589" w:rsidP="00986589">
      <w:pPr>
        <w:rPr>
          <w:rFonts w:ascii="Arial" w:hAnsi="Arial" w:cs="Arial"/>
          <w:noProof/>
        </w:rPr>
      </w:pPr>
      <w:r w:rsidRPr="00F91521">
        <w:rPr>
          <w:rFonts w:ascii="Arial" w:hAnsi="Arial" w:cs="Arial"/>
          <w:noProof/>
        </w:rPr>
        <w:t xml:space="preserve">The summary and reconciliation include all receipts and payments up to and including </w:t>
      </w:r>
      <w:r w:rsidR="008122EE">
        <w:rPr>
          <w:rFonts w:ascii="Arial" w:hAnsi="Arial" w:cs="Arial"/>
          <w:noProof/>
        </w:rPr>
        <w:t>31</w:t>
      </w:r>
      <w:r w:rsidR="008122EE" w:rsidRPr="008122EE">
        <w:rPr>
          <w:rFonts w:ascii="Arial" w:hAnsi="Arial" w:cs="Arial"/>
          <w:noProof/>
          <w:vertAlign w:val="superscript"/>
        </w:rPr>
        <w:t>st</w:t>
      </w:r>
      <w:r w:rsidR="008122EE">
        <w:rPr>
          <w:rFonts w:ascii="Arial" w:hAnsi="Arial" w:cs="Arial"/>
          <w:noProof/>
        </w:rPr>
        <w:t xml:space="preserve"> M</w:t>
      </w:r>
      <w:r w:rsidR="00B95157">
        <w:rPr>
          <w:rFonts w:ascii="Arial" w:hAnsi="Arial" w:cs="Arial"/>
          <w:noProof/>
        </w:rPr>
        <w:t>ay</w:t>
      </w:r>
      <w:r w:rsidR="000F7757">
        <w:rPr>
          <w:rFonts w:ascii="Arial" w:hAnsi="Arial" w:cs="Arial"/>
          <w:noProof/>
        </w:rPr>
        <w:t xml:space="preserve"> 202</w:t>
      </w:r>
      <w:r w:rsidR="004A298B">
        <w:rPr>
          <w:rFonts w:ascii="Arial" w:hAnsi="Arial" w:cs="Arial"/>
          <w:noProof/>
        </w:rPr>
        <w:t>4</w:t>
      </w:r>
      <w:r w:rsidR="00A576C8">
        <w:rPr>
          <w:rFonts w:ascii="Arial" w:hAnsi="Arial" w:cs="Arial"/>
          <w:noProof/>
        </w:rPr>
        <w:t xml:space="preserve"> </w:t>
      </w:r>
      <w:r w:rsidR="000F7757">
        <w:rPr>
          <w:rFonts w:ascii="Arial" w:hAnsi="Arial" w:cs="Arial"/>
          <w:noProof/>
        </w:rPr>
        <w:t xml:space="preserve">– </w:t>
      </w:r>
      <w:r w:rsidR="00B95157">
        <w:rPr>
          <w:rFonts w:ascii="Arial" w:hAnsi="Arial" w:cs="Arial"/>
          <w:noProof/>
        </w:rPr>
        <w:t>2</w:t>
      </w:r>
      <w:r w:rsidR="000F7757">
        <w:rPr>
          <w:rFonts w:ascii="Arial" w:hAnsi="Arial" w:cs="Arial"/>
          <w:noProof/>
        </w:rPr>
        <w:t>/12</w:t>
      </w:r>
      <w:r w:rsidR="000F7757" w:rsidRPr="000F7757">
        <w:rPr>
          <w:rFonts w:ascii="Arial" w:hAnsi="Arial" w:cs="Arial"/>
          <w:noProof/>
          <w:vertAlign w:val="superscript"/>
        </w:rPr>
        <w:t>th</w:t>
      </w:r>
      <w:r w:rsidR="000F7757">
        <w:rPr>
          <w:rFonts w:ascii="Arial" w:hAnsi="Arial" w:cs="Arial"/>
          <w:noProof/>
        </w:rPr>
        <w:t xml:space="preserve"> of the financial year.</w:t>
      </w:r>
      <w:r w:rsidR="00BC0284">
        <w:rPr>
          <w:rFonts w:ascii="Arial" w:hAnsi="Arial" w:cs="Arial"/>
          <w:noProof/>
        </w:rPr>
        <w:t xml:space="preserve">  For regular payments, such as salaries, this should be approximately </w:t>
      </w:r>
      <w:r w:rsidR="00B95157">
        <w:rPr>
          <w:rFonts w:ascii="Arial" w:hAnsi="Arial" w:cs="Arial"/>
          <w:noProof/>
        </w:rPr>
        <w:t>16.7</w:t>
      </w:r>
      <w:r w:rsidR="00BC0284">
        <w:rPr>
          <w:rFonts w:ascii="Arial" w:hAnsi="Arial" w:cs="Arial"/>
          <w:noProof/>
        </w:rPr>
        <w:t xml:space="preserve">% of the annual expenditure.  </w:t>
      </w:r>
    </w:p>
    <w:p w14:paraId="07F2E9C5" w14:textId="77777777" w:rsidR="00986589" w:rsidRDefault="00986589" w:rsidP="00986589">
      <w:pPr>
        <w:rPr>
          <w:rFonts w:ascii="Arial" w:hAnsi="Arial" w:cs="Arial"/>
          <w:b/>
          <w:bCs/>
          <w:noProof/>
        </w:rPr>
      </w:pPr>
      <w:r w:rsidRPr="00F91521">
        <w:rPr>
          <w:rFonts w:ascii="Arial" w:hAnsi="Arial" w:cs="Arial"/>
          <w:b/>
          <w:bCs/>
          <w:noProof/>
        </w:rPr>
        <w:t>EXPENDITURE</w:t>
      </w:r>
    </w:p>
    <w:p w14:paraId="34D72EEB" w14:textId="4FEB12F7" w:rsidR="00284FD5" w:rsidRPr="00284FD5" w:rsidRDefault="00284FD5" w:rsidP="00986589">
      <w:pPr>
        <w:rPr>
          <w:rFonts w:ascii="Arial" w:hAnsi="Arial" w:cs="Arial"/>
          <w:noProof/>
        </w:rPr>
      </w:pPr>
      <w:r>
        <w:rPr>
          <w:rFonts w:ascii="Arial" w:hAnsi="Arial" w:cs="Arial"/>
          <w:b/>
          <w:bCs/>
          <w:noProof/>
        </w:rPr>
        <w:t xml:space="preserve">Subscriptions:  </w:t>
      </w:r>
      <w:r>
        <w:rPr>
          <w:rFonts w:ascii="Arial" w:hAnsi="Arial" w:cs="Arial"/>
          <w:noProof/>
        </w:rPr>
        <w:t xml:space="preserve">a </w:t>
      </w:r>
      <w:r w:rsidR="00332A97">
        <w:rPr>
          <w:rFonts w:ascii="Arial" w:hAnsi="Arial" w:cs="Arial"/>
          <w:noProof/>
        </w:rPr>
        <w:t>debit card transaction has been generated on 31</w:t>
      </w:r>
      <w:r w:rsidR="00332A97" w:rsidRPr="00332A97">
        <w:rPr>
          <w:rFonts w:ascii="Arial" w:hAnsi="Arial" w:cs="Arial"/>
          <w:noProof/>
          <w:vertAlign w:val="superscript"/>
        </w:rPr>
        <w:t>st</w:t>
      </w:r>
      <w:r w:rsidR="00332A97">
        <w:rPr>
          <w:rFonts w:ascii="Arial" w:hAnsi="Arial" w:cs="Arial"/>
          <w:noProof/>
        </w:rPr>
        <w:t xml:space="preserve"> May payable to Suffolk Preservation Society for £30.  We paid membership to them on 21</w:t>
      </w:r>
      <w:r w:rsidR="00332A97" w:rsidRPr="00332A97">
        <w:rPr>
          <w:rFonts w:ascii="Arial" w:hAnsi="Arial" w:cs="Arial"/>
          <w:noProof/>
          <w:vertAlign w:val="superscript"/>
        </w:rPr>
        <w:t>st</w:t>
      </w:r>
      <w:r w:rsidR="00332A97">
        <w:rPr>
          <w:rFonts w:ascii="Arial" w:hAnsi="Arial" w:cs="Arial"/>
          <w:noProof/>
        </w:rPr>
        <w:t xml:space="preserve"> May by BACs.  I have been in touch with the bank, as I did not generate this payment and have also emailed Suffolk Preservation Society to ask them to reimburse this payment.  I can only assume that they generated an annual membership, despite having </w:t>
      </w:r>
      <w:r w:rsidR="0068053D">
        <w:rPr>
          <w:rFonts w:ascii="Arial" w:hAnsi="Arial" w:cs="Arial"/>
          <w:noProof/>
        </w:rPr>
        <w:t>already received our membership payment.  The bank will take it up if there is no resolution.</w:t>
      </w:r>
    </w:p>
    <w:p w14:paraId="71CB4544" w14:textId="21AEDB39" w:rsidR="00DE482F" w:rsidRDefault="00DE482F" w:rsidP="00986589">
      <w:pPr>
        <w:rPr>
          <w:rFonts w:ascii="Arial" w:hAnsi="Arial" w:cs="Arial"/>
          <w:noProof/>
        </w:rPr>
      </w:pPr>
      <w:r>
        <w:rPr>
          <w:rFonts w:ascii="Arial" w:hAnsi="Arial" w:cs="Arial"/>
          <w:b/>
          <w:bCs/>
          <w:noProof/>
        </w:rPr>
        <w:t xml:space="preserve">Salary Costs:  </w:t>
      </w:r>
      <w:r w:rsidR="00872FD1">
        <w:rPr>
          <w:rFonts w:ascii="Arial" w:hAnsi="Arial" w:cs="Arial"/>
          <w:noProof/>
        </w:rPr>
        <w:t xml:space="preserve">a 5% contingency has been included in clerk’s salary </w:t>
      </w:r>
      <w:r w:rsidR="006E3642">
        <w:rPr>
          <w:rFonts w:ascii="Arial" w:hAnsi="Arial" w:cs="Arial"/>
          <w:noProof/>
        </w:rPr>
        <w:t>which will be dependant upon the national pay agreement for 1 April 2024-31</w:t>
      </w:r>
      <w:r w:rsidR="006E3642" w:rsidRPr="006E3642">
        <w:rPr>
          <w:rFonts w:ascii="Arial" w:hAnsi="Arial" w:cs="Arial"/>
          <w:noProof/>
          <w:vertAlign w:val="superscript"/>
        </w:rPr>
        <w:t>st</w:t>
      </w:r>
      <w:r w:rsidR="006E3642">
        <w:rPr>
          <w:rFonts w:ascii="Arial" w:hAnsi="Arial" w:cs="Arial"/>
          <w:noProof/>
        </w:rPr>
        <w:t xml:space="preserve"> March 2025.  These agreements have not been reached until </w:t>
      </w:r>
      <w:r w:rsidR="008716FC">
        <w:rPr>
          <w:rFonts w:ascii="Arial" w:hAnsi="Arial" w:cs="Arial"/>
          <w:noProof/>
        </w:rPr>
        <w:t>9 months into the year in previous years.</w:t>
      </w:r>
    </w:p>
    <w:p w14:paraId="3C382C9F" w14:textId="313810E0" w:rsidR="008716FC" w:rsidRDefault="008716FC" w:rsidP="008716FC">
      <w:pPr>
        <w:rPr>
          <w:rFonts w:ascii="Arial" w:hAnsi="Arial" w:cs="Arial"/>
          <w:noProof/>
        </w:rPr>
      </w:pPr>
      <w:r>
        <w:rPr>
          <w:rFonts w:ascii="Arial" w:hAnsi="Arial" w:cs="Arial"/>
          <w:b/>
          <w:bCs/>
          <w:noProof/>
        </w:rPr>
        <w:t xml:space="preserve">Payroll costs: </w:t>
      </w:r>
      <w:r>
        <w:rPr>
          <w:rFonts w:ascii="Arial" w:hAnsi="Arial" w:cs="Arial"/>
          <w:noProof/>
        </w:rPr>
        <w:t>The invoice for the second half of 23-24 was not received until this financial year.  If both invoices for this year are submitted in time, this will be overspent, but is included in the reserves from last year’s budget.</w:t>
      </w:r>
    </w:p>
    <w:p w14:paraId="49358522" w14:textId="456FA863" w:rsidR="007B6459" w:rsidRPr="00472495" w:rsidRDefault="007B6459" w:rsidP="00986589">
      <w:pPr>
        <w:rPr>
          <w:rFonts w:ascii="Arial" w:hAnsi="Arial" w:cs="Arial"/>
          <w:noProof/>
        </w:rPr>
      </w:pPr>
      <w:r>
        <w:rPr>
          <w:rFonts w:ascii="Arial" w:hAnsi="Arial" w:cs="Arial"/>
          <w:b/>
          <w:bCs/>
          <w:noProof/>
        </w:rPr>
        <w:t xml:space="preserve">Street Lighting:  </w:t>
      </w:r>
      <w:r w:rsidR="00472495">
        <w:rPr>
          <w:rFonts w:ascii="Arial" w:hAnsi="Arial" w:cs="Arial"/>
          <w:noProof/>
        </w:rPr>
        <w:t>There was no available information re costs at the time of b</w:t>
      </w:r>
      <w:r w:rsidR="0022769D">
        <w:rPr>
          <w:rFonts w:ascii="Arial" w:hAnsi="Arial" w:cs="Arial"/>
          <w:noProof/>
        </w:rPr>
        <w:t>udgeting.  A prudent approach was adopted and has resulted in an underspend.</w:t>
      </w:r>
    </w:p>
    <w:p w14:paraId="0CE23D5C" w14:textId="5E2928FB" w:rsidR="00080B12" w:rsidRDefault="00080B12" w:rsidP="00986589">
      <w:pPr>
        <w:rPr>
          <w:rFonts w:ascii="Arial" w:hAnsi="Arial" w:cs="Arial"/>
          <w:noProof/>
        </w:rPr>
      </w:pPr>
      <w:r w:rsidRPr="00080B12">
        <w:rPr>
          <w:rFonts w:ascii="Arial" w:hAnsi="Arial" w:cs="Arial"/>
          <w:b/>
          <w:bCs/>
          <w:noProof/>
        </w:rPr>
        <w:t>Parish Papers</w:t>
      </w:r>
      <w:r>
        <w:rPr>
          <w:rFonts w:ascii="Arial" w:hAnsi="Arial" w:cs="Arial"/>
          <w:b/>
          <w:bCs/>
          <w:noProof/>
        </w:rPr>
        <w:t xml:space="preserve">:  </w:t>
      </w:r>
      <w:r>
        <w:rPr>
          <w:rFonts w:ascii="Arial" w:hAnsi="Arial" w:cs="Arial"/>
          <w:noProof/>
        </w:rPr>
        <w:t>the parish papers continue to expand</w:t>
      </w:r>
      <w:r w:rsidR="00B95157">
        <w:rPr>
          <w:rFonts w:ascii="Arial" w:hAnsi="Arial" w:cs="Arial"/>
          <w:noProof/>
        </w:rPr>
        <w:t xml:space="preserve"> and the June/July version is particularly large</w:t>
      </w:r>
      <w:r w:rsidR="003B74B1">
        <w:rPr>
          <w:rFonts w:ascii="Arial" w:hAnsi="Arial" w:cs="Arial"/>
          <w:noProof/>
        </w:rPr>
        <w:t xml:space="preserve"> and expensive</w:t>
      </w:r>
      <w:r w:rsidR="00B95157">
        <w:rPr>
          <w:rFonts w:ascii="Arial" w:hAnsi="Arial" w:cs="Arial"/>
          <w:noProof/>
        </w:rPr>
        <w:t>,</w:t>
      </w:r>
      <w:r>
        <w:rPr>
          <w:rFonts w:ascii="Arial" w:hAnsi="Arial" w:cs="Arial"/>
          <w:noProof/>
        </w:rPr>
        <w:t xml:space="preserve"> but </w:t>
      </w:r>
      <w:r w:rsidR="000D107E">
        <w:rPr>
          <w:rFonts w:ascii="Arial" w:hAnsi="Arial" w:cs="Arial"/>
          <w:noProof/>
        </w:rPr>
        <w:t xml:space="preserve">hopefully </w:t>
      </w:r>
      <w:r w:rsidR="00B95157">
        <w:rPr>
          <w:rFonts w:ascii="Arial" w:hAnsi="Arial" w:cs="Arial"/>
          <w:noProof/>
        </w:rPr>
        <w:t xml:space="preserve">some </w:t>
      </w:r>
      <w:r w:rsidR="000D107E">
        <w:rPr>
          <w:rFonts w:ascii="Arial" w:hAnsi="Arial" w:cs="Arial"/>
          <w:noProof/>
        </w:rPr>
        <w:t xml:space="preserve">of the cost will be met by </w:t>
      </w:r>
      <w:r w:rsidR="003B74B1">
        <w:rPr>
          <w:rFonts w:ascii="Arial" w:hAnsi="Arial" w:cs="Arial"/>
          <w:noProof/>
        </w:rPr>
        <w:t xml:space="preserve">new </w:t>
      </w:r>
      <w:r w:rsidR="000D107E">
        <w:rPr>
          <w:rFonts w:ascii="Arial" w:hAnsi="Arial" w:cs="Arial"/>
          <w:noProof/>
        </w:rPr>
        <w:t xml:space="preserve">advertising.  At the present charge, the budget </w:t>
      </w:r>
      <w:r w:rsidR="00B95157">
        <w:rPr>
          <w:rFonts w:ascii="Arial" w:hAnsi="Arial" w:cs="Arial"/>
          <w:noProof/>
        </w:rPr>
        <w:t>will</w:t>
      </w:r>
      <w:r w:rsidR="000D107E">
        <w:rPr>
          <w:rFonts w:ascii="Arial" w:hAnsi="Arial" w:cs="Arial"/>
          <w:noProof/>
        </w:rPr>
        <w:t xml:space="preserve"> be </w:t>
      </w:r>
      <w:r w:rsidR="0022769D">
        <w:rPr>
          <w:rFonts w:ascii="Arial" w:hAnsi="Arial" w:cs="Arial"/>
          <w:noProof/>
        </w:rPr>
        <w:t>overspent.</w:t>
      </w:r>
      <w:r w:rsidR="003B74B1">
        <w:rPr>
          <w:rFonts w:ascii="Arial" w:hAnsi="Arial" w:cs="Arial"/>
          <w:noProof/>
        </w:rPr>
        <w:t xml:space="preserve">  </w:t>
      </w:r>
    </w:p>
    <w:p w14:paraId="1CDB03F1" w14:textId="3D187569" w:rsidR="00B95157" w:rsidRPr="00377245" w:rsidRDefault="00B95157" w:rsidP="00986589">
      <w:pPr>
        <w:rPr>
          <w:rFonts w:ascii="Arial" w:hAnsi="Arial" w:cs="Arial"/>
          <w:noProof/>
        </w:rPr>
      </w:pPr>
      <w:r w:rsidRPr="00B95157">
        <w:rPr>
          <w:rFonts w:ascii="Arial" w:hAnsi="Arial" w:cs="Arial"/>
          <w:b/>
          <w:bCs/>
          <w:noProof/>
        </w:rPr>
        <w:t>Playground Renewals and Maintenance</w:t>
      </w:r>
      <w:r>
        <w:rPr>
          <w:rFonts w:ascii="Arial" w:hAnsi="Arial" w:cs="Arial"/>
          <w:b/>
          <w:bCs/>
          <w:noProof/>
        </w:rPr>
        <w:t xml:space="preserve">:  </w:t>
      </w:r>
      <w:r w:rsidR="00377245">
        <w:rPr>
          <w:rFonts w:ascii="Arial" w:hAnsi="Arial" w:cs="Arial"/>
          <w:noProof/>
        </w:rPr>
        <w:t>work is still being completed on the new slide</w:t>
      </w:r>
      <w:r w:rsidR="000B3A37">
        <w:rPr>
          <w:rFonts w:ascii="Arial" w:hAnsi="Arial" w:cs="Arial"/>
          <w:noProof/>
        </w:rPr>
        <w:t>.  We have a grant promised from Babergh Mid Suffolk for £10,000, the remainder will come from reserves.  It was believed that this work would be finished before the end of the last financial year, hence money is in carry forward (reserves) rather than delineated in the budget plan.</w:t>
      </w:r>
    </w:p>
    <w:p w14:paraId="5DDABDB8" w14:textId="749FE990" w:rsidR="000D107E" w:rsidRDefault="00AA5DB8" w:rsidP="00986589">
      <w:pPr>
        <w:rPr>
          <w:rFonts w:ascii="Arial" w:hAnsi="Arial" w:cs="Arial"/>
          <w:b/>
          <w:bCs/>
          <w:noProof/>
        </w:rPr>
      </w:pPr>
      <w:r w:rsidRPr="00AA5DB8">
        <w:rPr>
          <w:rFonts w:ascii="Arial" w:hAnsi="Arial" w:cs="Arial"/>
          <w:b/>
          <w:bCs/>
          <w:noProof/>
        </w:rPr>
        <w:t>INCOME</w:t>
      </w:r>
    </w:p>
    <w:p w14:paraId="57295853" w14:textId="77777777" w:rsidR="004B1789" w:rsidRDefault="00AA5DB8" w:rsidP="00986589">
      <w:pPr>
        <w:rPr>
          <w:rFonts w:ascii="Arial" w:hAnsi="Arial" w:cs="Arial"/>
          <w:noProof/>
        </w:rPr>
      </w:pPr>
      <w:r>
        <w:rPr>
          <w:rFonts w:ascii="Arial" w:hAnsi="Arial" w:cs="Arial"/>
          <w:b/>
          <w:bCs/>
          <w:noProof/>
        </w:rPr>
        <w:t xml:space="preserve">Precept:  </w:t>
      </w:r>
      <w:r w:rsidR="00CA6F27">
        <w:rPr>
          <w:rFonts w:ascii="Arial" w:hAnsi="Arial" w:cs="Arial"/>
          <w:noProof/>
        </w:rPr>
        <w:t>half of the precept has been received, the other half will be received at the end of September.</w:t>
      </w:r>
    </w:p>
    <w:p w14:paraId="0E86472C" w14:textId="517164A1" w:rsidR="002320C9" w:rsidRDefault="002320C9" w:rsidP="00986589">
      <w:pPr>
        <w:rPr>
          <w:rFonts w:ascii="Arial" w:hAnsi="Arial" w:cs="Arial"/>
          <w:noProof/>
        </w:rPr>
      </w:pPr>
      <w:r w:rsidRPr="002320C9">
        <w:rPr>
          <w:rFonts w:ascii="Arial" w:hAnsi="Arial" w:cs="Arial"/>
          <w:b/>
          <w:bCs/>
          <w:noProof/>
        </w:rPr>
        <w:t>Cleansing Grant</w:t>
      </w:r>
      <w:r>
        <w:rPr>
          <w:rFonts w:ascii="Arial" w:hAnsi="Arial" w:cs="Arial"/>
          <w:noProof/>
        </w:rPr>
        <w:t xml:space="preserve">:  a payment has been received </w:t>
      </w:r>
      <w:r w:rsidR="00C5085B">
        <w:rPr>
          <w:rFonts w:ascii="Arial" w:hAnsi="Arial" w:cs="Arial"/>
          <w:noProof/>
        </w:rPr>
        <w:t xml:space="preserve">for the final quarter of 23/24.  It is not clear whether BMSDC will catch up with payments </w:t>
      </w:r>
      <w:r w:rsidR="00A01C7F">
        <w:rPr>
          <w:rFonts w:ascii="Arial" w:hAnsi="Arial" w:cs="Arial"/>
          <w:noProof/>
        </w:rPr>
        <w:t>during this financial year.  We could, in theory, receive 5 quarters this year.</w:t>
      </w:r>
    </w:p>
    <w:p w14:paraId="42E8BF3C" w14:textId="7D33B497" w:rsidR="00080B12" w:rsidRPr="0068053D" w:rsidRDefault="004B1789" w:rsidP="00986589">
      <w:pPr>
        <w:rPr>
          <w:rFonts w:ascii="Arial" w:hAnsi="Arial" w:cs="Arial"/>
          <w:noProof/>
        </w:rPr>
      </w:pPr>
      <w:r w:rsidRPr="004B1789">
        <w:rPr>
          <w:rFonts w:ascii="Arial" w:hAnsi="Arial" w:cs="Arial"/>
          <w:b/>
          <w:bCs/>
          <w:noProof/>
        </w:rPr>
        <w:t>VAT:</w:t>
      </w:r>
      <w:r>
        <w:rPr>
          <w:rFonts w:ascii="Arial" w:hAnsi="Arial" w:cs="Arial"/>
          <w:b/>
          <w:bCs/>
          <w:noProof/>
        </w:rPr>
        <w:t xml:space="preserve">  </w:t>
      </w:r>
      <w:r>
        <w:rPr>
          <w:rFonts w:ascii="Arial" w:hAnsi="Arial" w:cs="Arial"/>
          <w:noProof/>
        </w:rPr>
        <w:t xml:space="preserve">a Vat claim </w:t>
      </w:r>
      <w:r w:rsidR="002320C9">
        <w:rPr>
          <w:rFonts w:ascii="Arial" w:hAnsi="Arial" w:cs="Arial"/>
          <w:noProof/>
        </w:rPr>
        <w:t xml:space="preserve">has </w:t>
      </w:r>
      <w:r w:rsidR="0068053D" w:rsidRPr="0068053D">
        <w:rPr>
          <w:rFonts w:ascii="Arial" w:hAnsi="Arial" w:cs="Arial"/>
          <w:noProof/>
        </w:rPr>
        <w:t>been received in full</w:t>
      </w:r>
    </w:p>
    <w:p w14:paraId="235416E1" w14:textId="312EE17F" w:rsidR="00C46E6E" w:rsidRDefault="00A01C7F" w:rsidP="00986589">
      <w:pPr>
        <w:rPr>
          <w:rFonts w:ascii="Arial" w:hAnsi="Arial" w:cs="Arial"/>
          <w:b/>
          <w:bCs/>
          <w:noProof/>
        </w:rPr>
      </w:pPr>
      <w:r>
        <w:rPr>
          <w:rFonts w:ascii="Arial" w:hAnsi="Arial" w:cs="Arial"/>
          <w:b/>
          <w:bCs/>
          <w:noProof/>
        </w:rPr>
        <w:t>READE FIELD ACCOUNT</w:t>
      </w:r>
    </w:p>
    <w:p w14:paraId="4B0FE35F" w14:textId="3C4F4706" w:rsidR="00A01C7F" w:rsidRPr="00A01C7F" w:rsidRDefault="00FB4983" w:rsidP="00986589">
      <w:pPr>
        <w:rPr>
          <w:rFonts w:ascii="Arial" w:hAnsi="Arial" w:cs="Arial"/>
          <w:noProof/>
        </w:rPr>
      </w:pPr>
      <w:r>
        <w:rPr>
          <w:rFonts w:ascii="Arial" w:hAnsi="Arial" w:cs="Arial"/>
          <w:noProof/>
        </w:rPr>
        <w:t>Lottery income is being paid into this account directly.  An adjustment will be made at the end of the financial year</w:t>
      </w:r>
      <w:r w:rsidR="00607B35">
        <w:rPr>
          <w:rFonts w:ascii="Arial" w:hAnsi="Arial" w:cs="Arial"/>
          <w:noProof/>
        </w:rPr>
        <w:t xml:space="preserve"> to reimburse the main account with the amount spent on prize money</w:t>
      </w:r>
      <w:r w:rsidR="00277E35">
        <w:rPr>
          <w:rFonts w:ascii="Arial" w:hAnsi="Arial" w:cs="Arial"/>
          <w:noProof/>
        </w:rPr>
        <w:t xml:space="preserve"> and the licence.</w:t>
      </w:r>
    </w:p>
    <w:sectPr w:rsidR="00A01C7F" w:rsidRPr="00A01C7F" w:rsidSect="006823B1">
      <w:type w:val="continuous"/>
      <w:pgSz w:w="11906" w:h="16838"/>
      <w:pgMar w:top="340" w:right="1440"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0CFB4" w14:textId="77777777" w:rsidR="0054794D" w:rsidRDefault="0054794D" w:rsidP="00B46FDD">
      <w:pPr>
        <w:spacing w:after="0" w:line="240" w:lineRule="auto"/>
      </w:pPr>
      <w:r>
        <w:separator/>
      </w:r>
    </w:p>
  </w:endnote>
  <w:endnote w:type="continuationSeparator" w:id="0">
    <w:p w14:paraId="6AFF8330" w14:textId="77777777" w:rsidR="0054794D" w:rsidRDefault="0054794D" w:rsidP="00B4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4B472" w14:textId="77777777" w:rsidR="0054794D" w:rsidRDefault="0054794D" w:rsidP="00B46FDD">
      <w:pPr>
        <w:spacing w:after="0" w:line="240" w:lineRule="auto"/>
      </w:pPr>
      <w:r>
        <w:separator/>
      </w:r>
    </w:p>
  </w:footnote>
  <w:footnote w:type="continuationSeparator" w:id="0">
    <w:p w14:paraId="1C28C5EB" w14:textId="77777777" w:rsidR="0054794D" w:rsidRDefault="0054794D" w:rsidP="00B46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E2037"/>
    <w:multiLevelType w:val="hybridMultilevel"/>
    <w:tmpl w:val="32C0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018DE"/>
    <w:multiLevelType w:val="hybridMultilevel"/>
    <w:tmpl w:val="445E3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8806067">
    <w:abstractNumId w:val="1"/>
  </w:num>
  <w:num w:numId="2" w16cid:durableId="141531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1C"/>
    <w:rsid w:val="000038D7"/>
    <w:rsid w:val="0000512A"/>
    <w:rsid w:val="00021142"/>
    <w:rsid w:val="00025C53"/>
    <w:rsid w:val="000301C9"/>
    <w:rsid w:val="000309CD"/>
    <w:rsid w:val="0003145F"/>
    <w:rsid w:val="00033C06"/>
    <w:rsid w:val="000346BD"/>
    <w:rsid w:val="000366AF"/>
    <w:rsid w:val="000409F7"/>
    <w:rsid w:val="0004140D"/>
    <w:rsid w:val="0004283B"/>
    <w:rsid w:val="00042EC6"/>
    <w:rsid w:val="00043C8F"/>
    <w:rsid w:val="00044420"/>
    <w:rsid w:val="00046406"/>
    <w:rsid w:val="00046A28"/>
    <w:rsid w:val="0005232B"/>
    <w:rsid w:val="00057C3F"/>
    <w:rsid w:val="000600BD"/>
    <w:rsid w:val="00062C92"/>
    <w:rsid w:val="0006309E"/>
    <w:rsid w:val="000633A6"/>
    <w:rsid w:val="00064161"/>
    <w:rsid w:val="00064B3C"/>
    <w:rsid w:val="00071068"/>
    <w:rsid w:val="00071882"/>
    <w:rsid w:val="000800C3"/>
    <w:rsid w:val="000805CB"/>
    <w:rsid w:val="00080B12"/>
    <w:rsid w:val="0009142C"/>
    <w:rsid w:val="00095FEE"/>
    <w:rsid w:val="00096155"/>
    <w:rsid w:val="00096321"/>
    <w:rsid w:val="000971C9"/>
    <w:rsid w:val="000A1404"/>
    <w:rsid w:val="000A34EC"/>
    <w:rsid w:val="000A4AD8"/>
    <w:rsid w:val="000B3A37"/>
    <w:rsid w:val="000C30EE"/>
    <w:rsid w:val="000C38A2"/>
    <w:rsid w:val="000C575F"/>
    <w:rsid w:val="000D00A7"/>
    <w:rsid w:val="000D0E64"/>
    <w:rsid w:val="000D107E"/>
    <w:rsid w:val="000D1F17"/>
    <w:rsid w:val="000D348C"/>
    <w:rsid w:val="000D3AF4"/>
    <w:rsid w:val="000D4B4C"/>
    <w:rsid w:val="000D6976"/>
    <w:rsid w:val="000E1858"/>
    <w:rsid w:val="000E1C85"/>
    <w:rsid w:val="000E2399"/>
    <w:rsid w:val="000E7F53"/>
    <w:rsid w:val="000F177E"/>
    <w:rsid w:val="000F3CB0"/>
    <w:rsid w:val="000F7757"/>
    <w:rsid w:val="000F7763"/>
    <w:rsid w:val="00102F75"/>
    <w:rsid w:val="00103F5B"/>
    <w:rsid w:val="00104BA6"/>
    <w:rsid w:val="00110396"/>
    <w:rsid w:val="00110976"/>
    <w:rsid w:val="00111661"/>
    <w:rsid w:val="001135FC"/>
    <w:rsid w:val="00113DE6"/>
    <w:rsid w:val="00114CE4"/>
    <w:rsid w:val="00117C5C"/>
    <w:rsid w:val="00123A62"/>
    <w:rsid w:val="0012707F"/>
    <w:rsid w:val="00127958"/>
    <w:rsid w:val="00130744"/>
    <w:rsid w:val="00140992"/>
    <w:rsid w:val="00144775"/>
    <w:rsid w:val="00150FDB"/>
    <w:rsid w:val="00153D0A"/>
    <w:rsid w:val="0015424E"/>
    <w:rsid w:val="00155EBB"/>
    <w:rsid w:val="001616F7"/>
    <w:rsid w:val="00162205"/>
    <w:rsid w:val="001633AC"/>
    <w:rsid w:val="00175F85"/>
    <w:rsid w:val="001761EC"/>
    <w:rsid w:val="0017666B"/>
    <w:rsid w:val="001772FF"/>
    <w:rsid w:val="0018116D"/>
    <w:rsid w:val="00181863"/>
    <w:rsid w:val="00182CA4"/>
    <w:rsid w:val="00184985"/>
    <w:rsid w:val="001872A8"/>
    <w:rsid w:val="00192272"/>
    <w:rsid w:val="0019391D"/>
    <w:rsid w:val="00193D61"/>
    <w:rsid w:val="001A3D6D"/>
    <w:rsid w:val="001A4844"/>
    <w:rsid w:val="001A5916"/>
    <w:rsid w:val="001A603A"/>
    <w:rsid w:val="001B0A50"/>
    <w:rsid w:val="001B15B8"/>
    <w:rsid w:val="001B298E"/>
    <w:rsid w:val="001B4D59"/>
    <w:rsid w:val="001B5312"/>
    <w:rsid w:val="001B6195"/>
    <w:rsid w:val="001B61CC"/>
    <w:rsid w:val="001B7FEF"/>
    <w:rsid w:val="001C36B5"/>
    <w:rsid w:val="001C51AE"/>
    <w:rsid w:val="001C5DD0"/>
    <w:rsid w:val="001C6C6C"/>
    <w:rsid w:val="001D2FB5"/>
    <w:rsid w:val="001D3ADD"/>
    <w:rsid w:val="001D4839"/>
    <w:rsid w:val="001D6E3E"/>
    <w:rsid w:val="001E02E5"/>
    <w:rsid w:val="001E2A32"/>
    <w:rsid w:val="001E63CA"/>
    <w:rsid w:val="001E6928"/>
    <w:rsid w:val="001F06C7"/>
    <w:rsid w:val="001F58CF"/>
    <w:rsid w:val="001F661A"/>
    <w:rsid w:val="001F69B9"/>
    <w:rsid w:val="001F7B7E"/>
    <w:rsid w:val="00203639"/>
    <w:rsid w:val="002048C7"/>
    <w:rsid w:val="00204DC6"/>
    <w:rsid w:val="00206D12"/>
    <w:rsid w:val="00207D1F"/>
    <w:rsid w:val="00207DE1"/>
    <w:rsid w:val="00211885"/>
    <w:rsid w:val="00217F0F"/>
    <w:rsid w:val="0022052E"/>
    <w:rsid w:val="00220AB2"/>
    <w:rsid w:val="00222785"/>
    <w:rsid w:val="0022572C"/>
    <w:rsid w:val="0022769D"/>
    <w:rsid w:val="00230405"/>
    <w:rsid w:val="002317F2"/>
    <w:rsid w:val="00231DB4"/>
    <w:rsid w:val="002320C9"/>
    <w:rsid w:val="00232CE0"/>
    <w:rsid w:val="0023663C"/>
    <w:rsid w:val="00236D78"/>
    <w:rsid w:val="00237E38"/>
    <w:rsid w:val="002411F8"/>
    <w:rsid w:val="002417E6"/>
    <w:rsid w:val="00241EE8"/>
    <w:rsid w:val="002469F0"/>
    <w:rsid w:val="0025154D"/>
    <w:rsid w:val="00251779"/>
    <w:rsid w:val="00251799"/>
    <w:rsid w:val="002528A4"/>
    <w:rsid w:val="0025415A"/>
    <w:rsid w:val="00254DED"/>
    <w:rsid w:val="00255504"/>
    <w:rsid w:val="00262317"/>
    <w:rsid w:val="00265B3E"/>
    <w:rsid w:val="00271235"/>
    <w:rsid w:val="00271634"/>
    <w:rsid w:val="00273861"/>
    <w:rsid w:val="00273B38"/>
    <w:rsid w:val="00276519"/>
    <w:rsid w:val="00277E35"/>
    <w:rsid w:val="00282022"/>
    <w:rsid w:val="00283DA4"/>
    <w:rsid w:val="00284FD5"/>
    <w:rsid w:val="0028503E"/>
    <w:rsid w:val="00286FDE"/>
    <w:rsid w:val="002A725B"/>
    <w:rsid w:val="002B06CD"/>
    <w:rsid w:val="002B3F40"/>
    <w:rsid w:val="002B573F"/>
    <w:rsid w:val="002C0B2F"/>
    <w:rsid w:val="002C35A3"/>
    <w:rsid w:val="002C5613"/>
    <w:rsid w:val="002C782E"/>
    <w:rsid w:val="002C79D5"/>
    <w:rsid w:val="002D4D3B"/>
    <w:rsid w:val="002D59D0"/>
    <w:rsid w:val="002D59F4"/>
    <w:rsid w:val="002D6F45"/>
    <w:rsid w:val="002E1662"/>
    <w:rsid w:val="002E1860"/>
    <w:rsid w:val="002E1B65"/>
    <w:rsid w:val="002E1B95"/>
    <w:rsid w:val="002E2878"/>
    <w:rsid w:val="002E44B6"/>
    <w:rsid w:val="002E5D51"/>
    <w:rsid w:val="002E6577"/>
    <w:rsid w:val="002F2876"/>
    <w:rsid w:val="002F2E7E"/>
    <w:rsid w:val="003014C6"/>
    <w:rsid w:val="00303E84"/>
    <w:rsid w:val="00303F0C"/>
    <w:rsid w:val="00303F65"/>
    <w:rsid w:val="00304E3F"/>
    <w:rsid w:val="0031122F"/>
    <w:rsid w:val="00311306"/>
    <w:rsid w:val="003116F5"/>
    <w:rsid w:val="00311878"/>
    <w:rsid w:val="003153C5"/>
    <w:rsid w:val="00315817"/>
    <w:rsid w:val="00315AE2"/>
    <w:rsid w:val="003212BB"/>
    <w:rsid w:val="00321D13"/>
    <w:rsid w:val="0033000E"/>
    <w:rsid w:val="003303D6"/>
    <w:rsid w:val="00332A97"/>
    <w:rsid w:val="00337DC5"/>
    <w:rsid w:val="00341CF1"/>
    <w:rsid w:val="00345C41"/>
    <w:rsid w:val="00347609"/>
    <w:rsid w:val="00352EA2"/>
    <w:rsid w:val="00353FAE"/>
    <w:rsid w:val="0035742E"/>
    <w:rsid w:val="003625DD"/>
    <w:rsid w:val="003629E8"/>
    <w:rsid w:val="003631A0"/>
    <w:rsid w:val="00375360"/>
    <w:rsid w:val="00377245"/>
    <w:rsid w:val="00385033"/>
    <w:rsid w:val="003854BE"/>
    <w:rsid w:val="00386D1A"/>
    <w:rsid w:val="00391C8D"/>
    <w:rsid w:val="00393575"/>
    <w:rsid w:val="0039518F"/>
    <w:rsid w:val="00396D18"/>
    <w:rsid w:val="003A18B5"/>
    <w:rsid w:val="003A1CD9"/>
    <w:rsid w:val="003A2CBF"/>
    <w:rsid w:val="003A6A0E"/>
    <w:rsid w:val="003A6BD6"/>
    <w:rsid w:val="003A7565"/>
    <w:rsid w:val="003B17D6"/>
    <w:rsid w:val="003B2CAE"/>
    <w:rsid w:val="003B4243"/>
    <w:rsid w:val="003B4BD1"/>
    <w:rsid w:val="003B629E"/>
    <w:rsid w:val="003B74B1"/>
    <w:rsid w:val="003C1284"/>
    <w:rsid w:val="003C155F"/>
    <w:rsid w:val="003C5115"/>
    <w:rsid w:val="003C7E1B"/>
    <w:rsid w:val="003D0A4B"/>
    <w:rsid w:val="003D30B9"/>
    <w:rsid w:val="003D388D"/>
    <w:rsid w:val="003D7402"/>
    <w:rsid w:val="003D750D"/>
    <w:rsid w:val="003E3DEB"/>
    <w:rsid w:val="003E526D"/>
    <w:rsid w:val="003E5FA0"/>
    <w:rsid w:val="003E7FD6"/>
    <w:rsid w:val="00401B46"/>
    <w:rsid w:val="00405800"/>
    <w:rsid w:val="00406923"/>
    <w:rsid w:val="00407D38"/>
    <w:rsid w:val="00412423"/>
    <w:rsid w:val="00412797"/>
    <w:rsid w:val="0042130D"/>
    <w:rsid w:val="00423FA7"/>
    <w:rsid w:val="00426532"/>
    <w:rsid w:val="00426A6E"/>
    <w:rsid w:val="004301D6"/>
    <w:rsid w:val="00431DC3"/>
    <w:rsid w:val="00432A80"/>
    <w:rsid w:val="004363E5"/>
    <w:rsid w:val="00443EE8"/>
    <w:rsid w:val="0044406D"/>
    <w:rsid w:val="004441C7"/>
    <w:rsid w:val="004447E2"/>
    <w:rsid w:val="00445318"/>
    <w:rsid w:val="004458E6"/>
    <w:rsid w:val="004467C3"/>
    <w:rsid w:val="0044721F"/>
    <w:rsid w:val="00447A93"/>
    <w:rsid w:val="0045254F"/>
    <w:rsid w:val="00453A61"/>
    <w:rsid w:val="00454654"/>
    <w:rsid w:val="004622DC"/>
    <w:rsid w:val="00462341"/>
    <w:rsid w:val="00464A4A"/>
    <w:rsid w:val="0047076E"/>
    <w:rsid w:val="00472495"/>
    <w:rsid w:val="004746E4"/>
    <w:rsid w:val="0047576A"/>
    <w:rsid w:val="004824E9"/>
    <w:rsid w:val="00482EEE"/>
    <w:rsid w:val="00492809"/>
    <w:rsid w:val="00497445"/>
    <w:rsid w:val="0049755D"/>
    <w:rsid w:val="004A0D1D"/>
    <w:rsid w:val="004A1756"/>
    <w:rsid w:val="004A298B"/>
    <w:rsid w:val="004A33DF"/>
    <w:rsid w:val="004A55F7"/>
    <w:rsid w:val="004A61B8"/>
    <w:rsid w:val="004A7730"/>
    <w:rsid w:val="004B1789"/>
    <w:rsid w:val="004B31C3"/>
    <w:rsid w:val="004B3849"/>
    <w:rsid w:val="004C1D33"/>
    <w:rsid w:val="004C6B86"/>
    <w:rsid w:val="004D194A"/>
    <w:rsid w:val="004E3736"/>
    <w:rsid w:val="004E40FE"/>
    <w:rsid w:val="004F3CB9"/>
    <w:rsid w:val="004F4D9B"/>
    <w:rsid w:val="004F70E1"/>
    <w:rsid w:val="005002E7"/>
    <w:rsid w:val="005031CE"/>
    <w:rsid w:val="00503BA1"/>
    <w:rsid w:val="00504C6E"/>
    <w:rsid w:val="0050667F"/>
    <w:rsid w:val="00506D58"/>
    <w:rsid w:val="00507C52"/>
    <w:rsid w:val="005126D5"/>
    <w:rsid w:val="00512D34"/>
    <w:rsid w:val="00515541"/>
    <w:rsid w:val="00515ACC"/>
    <w:rsid w:val="00515C23"/>
    <w:rsid w:val="0052318A"/>
    <w:rsid w:val="005267F4"/>
    <w:rsid w:val="0053055C"/>
    <w:rsid w:val="00543F4D"/>
    <w:rsid w:val="0054794D"/>
    <w:rsid w:val="00550A7D"/>
    <w:rsid w:val="00550B4C"/>
    <w:rsid w:val="00552616"/>
    <w:rsid w:val="00552ABF"/>
    <w:rsid w:val="00557A0C"/>
    <w:rsid w:val="00566A4D"/>
    <w:rsid w:val="00566C51"/>
    <w:rsid w:val="00567708"/>
    <w:rsid w:val="00567C43"/>
    <w:rsid w:val="00570D53"/>
    <w:rsid w:val="005851E3"/>
    <w:rsid w:val="0058621D"/>
    <w:rsid w:val="0059165E"/>
    <w:rsid w:val="005932AA"/>
    <w:rsid w:val="00594780"/>
    <w:rsid w:val="00594BF7"/>
    <w:rsid w:val="00595897"/>
    <w:rsid w:val="005A024E"/>
    <w:rsid w:val="005A1703"/>
    <w:rsid w:val="005A3626"/>
    <w:rsid w:val="005A6454"/>
    <w:rsid w:val="005A78B3"/>
    <w:rsid w:val="005B1F33"/>
    <w:rsid w:val="005B460A"/>
    <w:rsid w:val="005B46CD"/>
    <w:rsid w:val="005B4741"/>
    <w:rsid w:val="005B5731"/>
    <w:rsid w:val="005B5B18"/>
    <w:rsid w:val="005B7203"/>
    <w:rsid w:val="005B7BC2"/>
    <w:rsid w:val="005C3593"/>
    <w:rsid w:val="005D0C37"/>
    <w:rsid w:val="005D28BB"/>
    <w:rsid w:val="005D78BA"/>
    <w:rsid w:val="005E1A28"/>
    <w:rsid w:val="005E37EC"/>
    <w:rsid w:val="005E688D"/>
    <w:rsid w:val="005E734B"/>
    <w:rsid w:val="0060427C"/>
    <w:rsid w:val="0060644F"/>
    <w:rsid w:val="006065FA"/>
    <w:rsid w:val="006079CF"/>
    <w:rsid w:val="00607B35"/>
    <w:rsid w:val="00614A1D"/>
    <w:rsid w:val="0061780A"/>
    <w:rsid w:val="00623516"/>
    <w:rsid w:val="00623C92"/>
    <w:rsid w:val="006266BB"/>
    <w:rsid w:val="00635BB5"/>
    <w:rsid w:val="00636295"/>
    <w:rsid w:val="0064070B"/>
    <w:rsid w:val="00641FC6"/>
    <w:rsid w:val="00642775"/>
    <w:rsid w:val="00645BF9"/>
    <w:rsid w:val="0064631F"/>
    <w:rsid w:val="00646423"/>
    <w:rsid w:val="0064796E"/>
    <w:rsid w:val="00654A91"/>
    <w:rsid w:val="00655BB0"/>
    <w:rsid w:val="006575DF"/>
    <w:rsid w:val="0066365D"/>
    <w:rsid w:val="00666395"/>
    <w:rsid w:val="006677A4"/>
    <w:rsid w:val="0067176D"/>
    <w:rsid w:val="0067443C"/>
    <w:rsid w:val="00674F34"/>
    <w:rsid w:val="00675DF2"/>
    <w:rsid w:val="00680305"/>
    <w:rsid w:val="0068053D"/>
    <w:rsid w:val="006823B1"/>
    <w:rsid w:val="006840E0"/>
    <w:rsid w:val="00685E03"/>
    <w:rsid w:val="00687E36"/>
    <w:rsid w:val="0069016C"/>
    <w:rsid w:val="00695762"/>
    <w:rsid w:val="00695FD1"/>
    <w:rsid w:val="00696938"/>
    <w:rsid w:val="006979FE"/>
    <w:rsid w:val="006A0089"/>
    <w:rsid w:val="006A5451"/>
    <w:rsid w:val="006A5A0E"/>
    <w:rsid w:val="006B08B2"/>
    <w:rsid w:val="006B449F"/>
    <w:rsid w:val="006B4CE7"/>
    <w:rsid w:val="006B610A"/>
    <w:rsid w:val="006C008A"/>
    <w:rsid w:val="006C258F"/>
    <w:rsid w:val="006C2A36"/>
    <w:rsid w:val="006C6EB0"/>
    <w:rsid w:val="006D05EC"/>
    <w:rsid w:val="006D1DE0"/>
    <w:rsid w:val="006D4B97"/>
    <w:rsid w:val="006D4E30"/>
    <w:rsid w:val="006D5E6B"/>
    <w:rsid w:val="006D6979"/>
    <w:rsid w:val="006E0F30"/>
    <w:rsid w:val="006E2AE1"/>
    <w:rsid w:val="006E3642"/>
    <w:rsid w:val="006E61D9"/>
    <w:rsid w:val="006E6A25"/>
    <w:rsid w:val="006F246C"/>
    <w:rsid w:val="00703571"/>
    <w:rsid w:val="00706E1C"/>
    <w:rsid w:val="00707E66"/>
    <w:rsid w:val="0071054D"/>
    <w:rsid w:val="00711EC7"/>
    <w:rsid w:val="007131B3"/>
    <w:rsid w:val="00714D62"/>
    <w:rsid w:val="00716003"/>
    <w:rsid w:val="00716D79"/>
    <w:rsid w:val="00722BD2"/>
    <w:rsid w:val="00722F56"/>
    <w:rsid w:val="00723853"/>
    <w:rsid w:val="00723A8C"/>
    <w:rsid w:val="00724073"/>
    <w:rsid w:val="00727269"/>
    <w:rsid w:val="00730367"/>
    <w:rsid w:val="00731334"/>
    <w:rsid w:val="007365CD"/>
    <w:rsid w:val="00740038"/>
    <w:rsid w:val="0074109B"/>
    <w:rsid w:val="00742E72"/>
    <w:rsid w:val="007434D3"/>
    <w:rsid w:val="00744066"/>
    <w:rsid w:val="00745209"/>
    <w:rsid w:val="00745D58"/>
    <w:rsid w:val="00761BA4"/>
    <w:rsid w:val="0077052A"/>
    <w:rsid w:val="007708C9"/>
    <w:rsid w:val="00772A5D"/>
    <w:rsid w:val="007764E4"/>
    <w:rsid w:val="00777CE0"/>
    <w:rsid w:val="007800AF"/>
    <w:rsid w:val="00780614"/>
    <w:rsid w:val="00781474"/>
    <w:rsid w:val="007817B8"/>
    <w:rsid w:val="00783A00"/>
    <w:rsid w:val="00784825"/>
    <w:rsid w:val="00790389"/>
    <w:rsid w:val="00791EC7"/>
    <w:rsid w:val="0079327C"/>
    <w:rsid w:val="007A1514"/>
    <w:rsid w:val="007A4BFA"/>
    <w:rsid w:val="007B4780"/>
    <w:rsid w:val="007B6459"/>
    <w:rsid w:val="007B7453"/>
    <w:rsid w:val="007C2B69"/>
    <w:rsid w:val="007C4391"/>
    <w:rsid w:val="007C45AD"/>
    <w:rsid w:val="007C5C12"/>
    <w:rsid w:val="007C7B29"/>
    <w:rsid w:val="007D040E"/>
    <w:rsid w:val="007D44AA"/>
    <w:rsid w:val="007D5273"/>
    <w:rsid w:val="007E2C67"/>
    <w:rsid w:val="007E3C8C"/>
    <w:rsid w:val="007E7B7A"/>
    <w:rsid w:val="007E7F4D"/>
    <w:rsid w:val="007F0371"/>
    <w:rsid w:val="007F3011"/>
    <w:rsid w:val="0080155F"/>
    <w:rsid w:val="00805093"/>
    <w:rsid w:val="00805613"/>
    <w:rsid w:val="008100EC"/>
    <w:rsid w:val="00810B7C"/>
    <w:rsid w:val="008122EE"/>
    <w:rsid w:val="008126FA"/>
    <w:rsid w:val="008131C8"/>
    <w:rsid w:val="00813E15"/>
    <w:rsid w:val="00813F9D"/>
    <w:rsid w:val="008175E5"/>
    <w:rsid w:val="008177B9"/>
    <w:rsid w:val="008206E2"/>
    <w:rsid w:val="00824E51"/>
    <w:rsid w:val="00826A9A"/>
    <w:rsid w:val="00827F12"/>
    <w:rsid w:val="008316FF"/>
    <w:rsid w:val="00831DB2"/>
    <w:rsid w:val="008447EF"/>
    <w:rsid w:val="00847B7E"/>
    <w:rsid w:val="008507D6"/>
    <w:rsid w:val="00851C8B"/>
    <w:rsid w:val="00854E19"/>
    <w:rsid w:val="00860929"/>
    <w:rsid w:val="00860B00"/>
    <w:rsid w:val="008623DE"/>
    <w:rsid w:val="00863C9E"/>
    <w:rsid w:val="008716FC"/>
    <w:rsid w:val="00872FD1"/>
    <w:rsid w:val="008772BC"/>
    <w:rsid w:val="00884A5C"/>
    <w:rsid w:val="0088673C"/>
    <w:rsid w:val="00887FF5"/>
    <w:rsid w:val="00891C95"/>
    <w:rsid w:val="00891E7D"/>
    <w:rsid w:val="00892E16"/>
    <w:rsid w:val="00892E3C"/>
    <w:rsid w:val="008A0632"/>
    <w:rsid w:val="008A0D70"/>
    <w:rsid w:val="008A15DE"/>
    <w:rsid w:val="008A1A41"/>
    <w:rsid w:val="008A362D"/>
    <w:rsid w:val="008A5A3C"/>
    <w:rsid w:val="008A635C"/>
    <w:rsid w:val="008A789F"/>
    <w:rsid w:val="008C0B21"/>
    <w:rsid w:val="008C11F7"/>
    <w:rsid w:val="008C2C96"/>
    <w:rsid w:val="008C3008"/>
    <w:rsid w:val="008C300B"/>
    <w:rsid w:val="008C339C"/>
    <w:rsid w:val="008D1063"/>
    <w:rsid w:val="008D1F95"/>
    <w:rsid w:val="008D70C3"/>
    <w:rsid w:val="008D7665"/>
    <w:rsid w:val="008D797A"/>
    <w:rsid w:val="008E02DD"/>
    <w:rsid w:val="008E57C9"/>
    <w:rsid w:val="008F2C1C"/>
    <w:rsid w:val="008F46A3"/>
    <w:rsid w:val="008F5940"/>
    <w:rsid w:val="00901BD6"/>
    <w:rsid w:val="009029E6"/>
    <w:rsid w:val="00902B16"/>
    <w:rsid w:val="00905A3A"/>
    <w:rsid w:val="00910126"/>
    <w:rsid w:val="00914AB1"/>
    <w:rsid w:val="009159EA"/>
    <w:rsid w:val="00921691"/>
    <w:rsid w:val="0092726F"/>
    <w:rsid w:val="009312D7"/>
    <w:rsid w:val="00932159"/>
    <w:rsid w:val="00932E86"/>
    <w:rsid w:val="00933D6C"/>
    <w:rsid w:val="009408A2"/>
    <w:rsid w:val="009417AD"/>
    <w:rsid w:val="0094277A"/>
    <w:rsid w:val="00942844"/>
    <w:rsid w:val="00943B61"/>
    <w:rsid w:val="00943F10"/>
    <w:rsid w:val="00945F92"/>
    <w:rsid w:val="00952E0D"/>
    <w:rsid w:val="00953CC2"/>
    <w:rsid w:val="00954B4F"/>
    <w:rsid w:val="0095576A"/>
    <w:rsid w:val="009607CE"/>
    <w:rsid w:val="00961AFB"/>
    <w:rsid w:val="009655DB"/>
    <w:rsid w:val="00971A7A"/>
    <w:rsid w:val="009735A1"/>
    <w:rsid w:val="00982D45"/>
    <w:rsid w:val="00984044"/>
    <w:rsid w:val="00985404"/>
    <w:rsid w:val="009854E7"/>
    <w:rsid w:val="00986589"/>
    <w:rsid w:val="00991221"/>
    <w:rsid w:val="00992549"/>
    <w:rsid w:val="0099286D"/>
    <w:rsid w:val="00994C02"/>
    <w:rsid w:val="009A1981"/>
    <w:rsid w:val="009A2B8B"/>
    <w:rsid w:val="009A3FF0"/>
    <w:rsid w:val="009A40D0"/>
    <w:rsid w:val="009A5115"/>
    <w:rsid w:val="009A591E"/>
    <w:rsid w:val="009A5A95"/>
    <w:rsid w:val="009A6AA8"/>
    <w:rsid w:val="009A6C7D"/>
    <w:rsid w:val="009A71DC"/>
    <w:rsid w:val="009B012E"/>
    <w:rsid w:val="009B56A1"/>
    <w:rsid w:val="009B57F3"/>
    <w:rsid w:val="009C40AF"/>
    <w:rsid w:val="009C5C0B"/>
    <w:rsid w:val="009C7610"/>
    <w:rsid w:val="009C7791"/>
    <w:rsid w:val="009D2AC6"/>
    <w:rsid w:val="009E040A"/>
    <w:rsid w:val="009F10CA"/>
    <w:rsid w:val="009F23F3"/>
    <w:rsid w:val="009F40F5"/>
    <w:rsid w:val="009F4407"/>
    <w:rsid w:val="00A01AD5"/>
    <w:rsid w:val="00A01C7F"/>
    <w:rsid w:val="00A043AB"/>
    <w:rsid w:val="00A0598D"/>
    <w:rsid w:val="00A063FA"/>
    <w:rsid w:val="00A06C9C"/>
    <w:rsid w:val="00A11703"/>
    <w:rsid w:val="00A1339F"/>
    <w:rsid w:val="00A14E75"/>
    <w:rsid w:val="00A16A9A"/>
    <w:rsid w:val="00A1729B"/>
    <w:rsid w:val="00A20D06"/>
    <w:rsid w:val="00A22677"/>
    <w:rsid w:val="00A23D3A"/>
    <w:rsid w:val="00A23DA1"/>
    <w:rsid w:val="00A25603"/>
    <w:rsid w:val="00A258D5"/>
    <w:rsid w:val="00A37789"/>
    <w:rsid w:val="00A3787D"/>
    <w:rsid w:val="00A431F6"/>
    <w:rsid w:val="00A437D9"/>
    <w:rsid w:val="00A469D1"/>
    <w:rsid w:val="00A51013"/>
    <w:rsid w:val="00A5211B"/>
    <w:rsid w:val="00A5397C"/>
    <w:rsid w:val="00A54A7D"/>
    <w:rsid w:val="00A576C8"/>
    <w:rsid w:val="00A577F7"/>
    <w:rsid w:val="00A6647F"/>
    <w:rsid w:val="00A66602"/>
    <w:rsid w:val="00A66FA6"/>
    <w:rsid w:val="00A7124C"/>
    <w:rsid w:val="00A7230E"/>
    <w:rsid w:val="00A82452"/>
    <w:rsid w:val="00A86008"/>
    <w:rsid w:val="00A86173"/>
    <w:rsid w:val="00A86F6B"/>
    <w:rsid w:val="00A95337"/>
    <w:rsid w:val="00AA14C4"/>
    <w:rsid w:val="00AA34D9"/>
    <w:rsid w:val="00AA48BB"/>
    <w:rsid w:val="00AA5DB8"/>
    <w:rsid w:val="00AA691A"/>
    <w:rsid w:val="00AB6347"/>
    <w:rsid w:val="00AB6635"/>
    <w:rsid w:val="00AC006F"/>
    <w:rsid w:val="00AC0CB2"/>
    <w:rsid w:val="00AC2F0E"/>
    <w:rsid w:val="00AC3974"/>
    <w:rsid w:val="00AC573C"/>
    <w:rsid w:val="00AC6FCF"/>
    <w:rsid w:val="00AD0203"/>
    <w:rsid w:val="00AD22DE"/>
    <w:rsid w:val="00AD2EE7"/>
    <w:rsid w:val="00AD4D76"/>
    <w:rsid w:val="00AE1486"/>
    <w:rsid w:val="00AE42B6"/>
    <w:rsid w:val="00AF11EB"/>
    <w:rsid w:val="00AF1877"/>
    <w:rsid w:val="00AF19F1"/>
    <w:rsid w:val="00AF1E82"/>
    <w:rsid w:val="00AF4103"/>
    <w:rsid w:val="00AF4877"/>
    <w:rsid w:val="00AF65D3"/>
    <w:rsid w:val="00B003E8"/>
    <w:rsid w:val="00B0277C"/>
    <w:rsid w:val="00B11F36"/>
    <w:rsid w:val="00B127E4"/>
    <w:rsid w:val="00B134E0"/>
    <w:rsid w:val="00B145BC"/>
    <w:rsid w:val="00B17DF9"/>
    <w:rsid w:val="00B202A7"/>
    <w:rsid w:val="00B237FB"/>
    <w:rsid w:val="00B27EA8"/>
    <w:rsid w:val="00B31652"/>
    <w:rsid w:val="00B31E69"/>
    <w:rsid w:val="00B348B8"/>
    <w:rsid w:val="00B35062"/>
    <w:rsid w:val="00B36DE4"/>
    <w:rsid w:val="00B379E4"/>
    <w:rsid w:val="00B4161D"/>
    <w:rsid w:val="00B41BD9"/>
    <w:rsid w:val="00B44CE5"/>
    <w:rsid w:val="00B46FDD"/>
    <w:rsid w:val="00B51CC9"/>
    <w:rsid w:val="00B52532"/>
    <w:rsid w:val="00B530E9"/>
    <w:rsid w:val="00B555EF"/>
    <w:rsid w:val="00B66981"/>
    <w:rsid w:val="00B6793B"/>
    <w:rsid w:val="00B70CAA"/>
    <w:rsid w:val="00B779EA"/>
    <w:rsid w:val="00B80A5D"/>
    <w:rsid w:val="00B81786"/>
    <w:rsid w:val="00B84C67"/>
    <w:rsid w:val="00B85065"/>
    <w:rsid w:val="00B8615C"/>
    <w:rsid w:val="00B90F2D"/>
    <w:rsid w:val="00B93182"/>
    <w:rsid w:val="00B95157"/>
    <w:rsid w:val="00B95C13"/>
    <w:rsid w:val="00B972B8"/>
    <w:rsid w:val="00BA1163"/>
    <w:rsid w:val="00BA2B92"/>
    <w:rsid w:val="00BA3249"/>
    <w:rsid w:val="00BA4D2E"/>
    <w:rsid w:val="00BA502A"/>
    <w:rsid w:val="00BB0BAE"/>
    <w:rsid w:val="00BB4F1F"/>
    <w:rsid w:val="00BB6E1D"/>
    <w:rsid w:val="00BB7E55"/>
    <w:rsid w:val="00BC0284"/>
    <w:rsid w:val="00BC0CE5"/>
    <w:rsid w:val="00BC4D36"/>
    <w:rsid w:val="00BC6D6C"/>
    <w:rsid w:val="00BD1AC9"/>
    <w:rsid w:val="00BD43FE"/>
    <w:rsid w:val="00BD6DE6"/>
    <w:rsid w:val="00BD705C"/>
    <w:rsid w:val="00BD7E1D"/>
    <w:rsid w:val="00BE1070"/>
    <w:rsid w:val="00BE52CC"/>
    <w:rsid w:val="00BE70F3"/>
    <w:rsid w:val="00BF01D6"/>
    <w:rsid w:val="00BF3533"/>
    <w:rsid w:val="00C0748F"/>
    <w:rsid w:val="00C07EC3"/>
    <w:rsid w:val="00C1305B"/>
    <w:rsid w:val="00C17A9F"/>
    <w:rsid w:val="00C21955"/>
    <w:rsid w:val="00C21E02"/>
    <w:rsid w:val="00C224EB"/>
    <w:rsid w:val="00C27D75"/>
    <w:rsid w:val="00C30505"/>
    <w:rsid w:val="00C31E97"/>
    <w:rsid w:val="00C326E6"/>
    <w:rsid w:val="00C34601"/>
    <w:rsid w:val="00C355A9"/>
    <w:rsid w:val="00C357CD"/>
    <w:rsid w:val="00C357E9"/>
    <w:rsid w:val="00C35A29"/>
    <w:rsid w:val="00C35A2D"/>
    <w:rsid w:val="00C40D13"/>
    <w:rsid w:val="00C446B4"/>
    <w:rsid w:val="00C44C2A"/>
    <w:rsid w:val="00C4533C"/>
    <w:rsid w:val="00C465FD"/>
    <w:rsid w:val="00C46E6E"/>
    <w:rsid w:val="00C47E2B"/>
    <w:rsid w:val="00C5085B"/>
    <w:rsid w:val="00C5191B"/>
    <w:rsid w:val="00C56ED1"/>
    <w:rsid w:val="00C60253"/>
    <w:rsid w:val="00C61610"/>
    <w:rsid w:val="00C617A6"/>
    <w:rsid w:val="00C63375"/>
    <w:rsid w:val="00C650F7"/>
    <w:rsid w:val="00C67987"/>
    <w:rsid w:val="00C710D8"/>
    <w:rsid w:val="00C77BBA"/>
    <w:rsid w:val="00C83C60"/>
    <w:rsid w:val="00C84252"/>
    <w:rsid w:val="00C845F2"/>
    <w:rsid w:val="00CA019A"/>
    <w:rsid w:val="00CA0208"/>
    <w:rsid w:val="00CA6F27"/>
    <w:rsid w:val="00CB118E"/>
    <w:rsid w:val="00CB574C"/>
    <w:rsid w:val="00CC378C"/>
    <w:rsid w:val="00CC3B84"/>
    <w:rsid w:val="00CC4B79"/>
    <w:rsid w:val="00CC6D88"/>
    <w:rsid w:val="00CD3227"/>
    <w:rsid w:val="00CE3FF0"/>
    <w:rsid w:val="00CE5AAB"/>
    <w:rsid w:val="00CE7A08"/>
    <w:rsid w:val="00CF3C7B"/>
    <w:rsid w:val="00D0194A"/>
    <w:rsid w:val="00D02C6C"/>
    <w:rsid w:val="00D1115A"/>
    <w:rsid w:val="00D114C6"/>
    <w:rsid w:val="00D1300A"/>
    <w:rsid w:val="00D147D4"/>
    <w:rsid w:val="00D209B3"/>
    <w:rsid w:val="00D25D09"/>
    <w:rsid w:val="00D27387"/>
    <w:rsid w:val="00D311EA"/>
    <w:rsid w:val="00D33E31"/>
    <w:rsid w:val="00D350AC"/>
    <w:rsid w:val="00D365F8"/>
    <w:rsid w:val="00D36996"/>
    <w:rsid w:val="00D36CC1"/>
    <w:rsid w:val="00D376AD"/>
    <w:rsid w:val="00D41BC8"/>
    <w:rsid w:val="00D424CB"/>
    <w:rsid w:val="00D43AE2"/>
    <w:rsid w:val="00D47DD7"/>
    <w:rsid w:val="00D50A87"/>
    <w:rsid w:val="00D53703"/>
    <w:rsid w:val="00D53F76"/>
    <w:rsid w:val="00D57434"/>
    <w:rsid w:val="00D578B4"/>
    <w:rsid w:val="00D62824"/>
    <w:rsid w:val="00D62976"/>
    <w:rsid w:val="00D62DA3"/>
    <w:rsid w:val="00D65F01"/>
    <w:rsid w:val="00D7445F"/>
    <w:rsid w:val="00D8254B"/>
    <w:rsid w:val="00D8693C"/>
    <w:rsid w:val="00D90938"/>
    <w:rsid w:val="00D91D93"/>
    <w:rsid w:val="00D92AD2"/>
    <w:rsid w:val="00D93B9A"/>
    <w:rsid w:val="00DA0E5E"/>
    <w:rsid w:val="00DA6BF1"/>
    <w:rsid w:val="00DB17CD"/>
    <w:rsid w:val="00DB6D4D"/>
    <w:rsid w:val="00DC0464"/>
    <w:rsid w:val="00DC2C27"/>
    <w:rsid w:val="00DC7898"/>
    <w:rsid w:val="00DE2CE1"/>
    <w:rsid w:val="00DE482F"/>
    <w:rsid w:val="00DF0718"/>
    <w:rsid w:val="00DF5713"/>
    <w:rsid w:val="00DF77DA"/>
    <w:rsid w:val="00E007CB"/>
    <w:rsid w:val="00E040A8"/>
    <w:rsid w:val="00E0551F"/>
    <w:rsid w:val="00E1535F"/>
    <w:rsid w:val="00E16316"/>
    <w:rsid w:val="00E21127"/>
    <w:rsid w:val="00E2454A"/>
    <w:rsid w:val="00E27B91"/>
    <w:rsid w:val="00E30DC6"/>
    <w:rsid w:val="00E3156C"/>
    <w:rsid w:val="00E36501"/>
    <w:rsid w:val="00E37B2F"/>
    <w:rsid w:val="00E464BB"/>
    <w:rsid w:val="00E53F45"/>
    <w:rsid w:val="00E5764D"/>
    <w:rsid w:val="00E57FDF"/>
    <w:rsid w:val="00E61EA8"/>
    <w:rsid w:val="00E628E5"/>
    <w:rsid w:val="00E63259"/>
    <w:rsid w:val="00E64042"/>
    <w:rsid w:val="00E653D8"/>
    <w:rsid w:val="00E70580"/>
    <w:rsid w:val="00E722E9"/>
    <w:rsid w:val="00E80BF5"/>
    <w:rsid w:val="00E816B2"/>
    <w:rsid w:val="00E81C92"/>
    <w:rsid w:val="00E82FD5"/>
    <w:rsid w:val="00E90928"/>
    <w:rsid w:val="00E917D0"/>
    <w:rsid w:val="00EA1111"/>
    <w:rsid w:val="00EA1A1B"/>
    <w:rsid w:val="00EA1A9A"/>
    <w:rsid w:val="00EA4D3C"/>
    <w:rsid w:val="00EB6DD4"/>
    <w:rsid w:val="00EC08A3"/>
    <w:rsid w:val="00EC180A"/>
    <w:rsid w:val="00EC1B66"/>
    <w:rsid w:val="00EC5B2C"/>
    <w:rsid w:val="00EC6851"/>
    <w:rsid w:val="00ED1159"/>
    <w:rsid w:val="00ED1B11"/>
    <w:rsid w:val="00ED2651"/>
    <w:rsid w:val="00EE535A"/>
    <w:rsid w:val="00EF155C"/>
    <w:rsid w:val="00EF27DF"/>
    <w:rsid w:val="00EF37E6"/>
    <w:rsid w:val="00EF4B89"/>
    <w:rsid w:val="00F00DE2"/>
    <w:rsid w:val="00F0111A"/>
    <w:rsid w:val="00F027F4"/>
    <w:rsid w:val="00F037A2"/>
    <w:rsid w:val="00F05047"/>
    <w:rsid w:val="00F06275"/>
    <w:rsid w:val="00F07CD9"/>
    <w:rsid w:val="00F10CEE"/>
    <w:rsid w:val="00F14989"/>
    <w:rsid w:val="00F15B3D"/>
    <w:rsid w:val="00F16C44"/>
    <w:rsid w:val="00F17087"/>
    <w:rsid w:val="00F21E71"/>
    <w:rsid w:val="00F21FB7"/>
    <w:rsid w:val="00F2345A"/>
    <w:rsid w:val="00F239F8"/>
    <w:rsid w:val="00F24DA1"/>
    <w:rsid w:val="00F25A69"/>
    <w:rsid w:val="00F34D5A"/>
    <w:rsid w:val="00F36F5A"/>
    <w:rsid w:val="00F40104"/>
    <w:rsid w:val="00F525C5"/>
    <w:rsid w:val="00F52FF8"/>
    <w:rsid w:val="00F53145"/>
    <w:rsid w:val="00F55100"/>
    <w:rsid w:val="00F572DD"/>
    <w:rsid w:val="00F61965"/>
    <w:rsid w:val="00F634F8"/>
    <w:rsid w:val="00F66AAA"/>
    <w:rsid w:val="00F80942"/>
    <w:rsid w:val="00F84139"/>
    <w:rsid w:val="00F858B0"/>
    <w:rsid w:val="00F900F1"/>
    <w:rsid w:val="00F908AD"/>
    <w:rsid w:val="00F91521"/>
    <w:rsid w:val="00F92DF5"/>
    <w:rsid w:val="00F9395C"/>
    <w:rsid w:val="00F95507"/>
    <w:rsid w:val="00FA31A3"/>
    <w:rsid w:val="00FA4797"/>
    <w:rsid w:val="00FA5389"/>
    <w:rsid w:val="00FA5CA6"/>
    <w:rsid w:val="00FA652F"/>
    <w:rsid w:val="00FB0B12"/>
    <w:rsid w:val="00FB0E45"/>
    <w:rsid w:val="00FB1628"/>
    <w:rsid w:val="00FB2236"/>
    <w:rsid w:val="00FB2E59"/>
    <w:rsid w:val="00FB4983"/>
    <w:rsid w:val="00FB5EB2"/>
    <w:rsid w:val="00FB6A82"/>
    <w:rsid w:val="00FB7928"/>
    <w:rsid w:val="00FD3BFE"/>
    <w:rsid w:val="00FD55CB"/>
    <w:rsid w:val="00FE1AAD"/>
    <w:rsid w:val="00FE1D3E"/>
    <w:rsid w:val="00FE4CF2"/>
    <w:rsid w:val="00FE6615"/>
    <w:rsid w:val="00FE67A7"/>
    <w:rsid w:val="00FE6842"/>
    <w:rsid w:val="00FF05D2"/>
    <w:rsid w:val="00FF27BA"/>
    <w:rsid w:val="00FF491D"/>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37AE"/>
  <w15:chartTrackingRefBased/>
  <w15:docId w15:val="{36C68AC6-9408-46EB-8696-1E612E7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B5"/>
    <w:pPr>
      <w:ind w:left="720"/>
      <w:contextualSpacing/>
    </w:pPr>
  </w:style>
  <w:style w:type="paragraph" w:styleId="BalloonText">
    <w:name w:val="Balloon Text"/>
    <w:basedOn w:val="Normal"/>
    <w:link w:val="BalloonTextChar"/>
    <w:uiPriority w:val="99"/>
    <w:semiHidden/>
    <w:unhideWhenUsed/>
    <w:rsid w:val="00AF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77"/>
    <w:rPr>
      <w:rFonts w:ascii="Segoe UI" w:hAnsi="Segoe UI" w:cs="Segoe UI"/>
      <w:sz w:val="18"/>
      <w:szCs w:val="18"/>
    </w:rPr>
  </w:style>
  <w:style w:type="table" w:styleId="TableGrid">
    <w:name w:val="Table Grid"/>
    <w:basedOn w:val="TableNormal"/>
    <w:uiPriority w:val="39"/>
    <w:rsid w:val="00232C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2B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57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33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B31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B01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82C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F28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F72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7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805C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D2A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900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712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118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266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2F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0A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C00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147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C25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947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079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C21E02"/>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46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DD"/>
  </w:style>
  <w:style w:type="paragraph" w:styleId="Footer">
    <w:name w:val="footer"/>
    <w:basedOn w:val="Normal"/>
    <w:link w:val="FooterChar"/>
    <w:uiPriority w:val="99"/>
    <w:unhideWhenUsed/>
    <w:rsid w:val="00B46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DD"/>
  </w:style>
  <w:style w:type="table" w:customStyle="1" w:styleId="TableGrid23">
    <w:name w:val="Table Grid23"/>
    <w:basedOn w:val="TableNormal"/>
    <w:next w:val="TableGrid"/>
    <w:uiPriority w:val="39"/>
    <w:rsid w:val="00A664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A61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7272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26A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5B47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1C36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84791">
      <w:bodyDiv w:val="1"/>
      <w:marLeft w:val="0"/>
      <w:marRight w:val="0"/>
      <w:marTop w:val="0"/>
      <w:marBottom w:val="0"/>
      <w:divBdr>
        <w:top w:val="none" w:sz="0" w:space="0" w:color="auto"/>
        <w:left w:val="none" w:sz="0" w:space="0" w:color="auto"/>
        <w:bottom w:val="none" w:sz="0" w:space="0" w:color="auto"/>
        <w:right w:val="none" w:sz="0" w:space="0" w:color="auto"/>
      </w:divBdr>
    </w:div>
    <w:div w:id="121269156">
      <w:bodyDiv w:val="1"/>
      <w:marLeft w:val="0"/>
      <w:marRight w:val="0"/>
      <w:marTop w:val="0"/>
      <w:marBottom w:val="0"/>
      <w:divBdr>
        <w:top w:val="none" w:sz="0" w:space="0" w:color="auto"/>
        <w:left w:val="none" w:sz="0" w:space="0" w:color="auto"/>
        <w:bottom w:val="none" w:sz="0" w:space="0" w:color="auto"/>
        <w:right w:val="none" w:sz="0" w:space="0" w:color="auto"/>
      </w:divBdr>
    </w:div>
    <w:div w:id="178202399">
      <w:bodyDiv w:val="1"/>
      <w:marLeft w:val="0"/>
      <w:marRight w:val="0"/>
      <w:marTop w:val="0"/>
      <w:marBottom w:val="0"/>
      <w:divBdr>
        <w:top w:val="none" w:sz="0" w:space="0" w:color="auto"/>
        <w:left w:val="none" w:sz="0" w:space="0" w:color="auto"/>
        <w:bottom w:val="none" w:sz="0" w:space="0" w:color="auto"/>
        <w:right w:val="none" w:sz="0" w:space="0" w:color="auto"/>
      </w:divBdr>
    </w:div>
    <w:div w:id="231084534">
      <w:bodyDiv w:val="1"/>
      <w:marLeft w:val="0"/>
      <w:marRight w:val="0"/>
      <w:marTop w:val="0"/>
      <w:marBottom w:val="0"/>
      <w:divBdr>
        <w:top w:val="none" w:sz="0" w:space="0" w:color="auto"/>
        <w:left w:val="none" w:sz="0" w:space="0" w:color="auto"/>
        <w:bottom w:val="none" w:sz="0" w:space="0" w:color="auto"/>
        <w:right w:val="none" w:sz="0" w:space="0" w:color="auto"/>
      </w:divBdr>
    </w:div>
    <w:div w:id="351536959">
      <w:bodyDiv w:val="1"/>
      <w:marLeft w:val="0"/>
      <w:marRight w:val="0"/>
      <w:marTop w:val="0"/>
      <w:marBottom w:val="0"/>
      <w:divBdr>
        <w:top w:val="none" w:sz="0" w:space="0" w:color="auto"/>
        <w:left w:val="none" w:sz="0" w:space="0" w:color="auto"/>
        <w:bottom w:val="none" w:sz="0" w:space="0" w:color="auto"/>
        <w:right w:val="none" w:sz="0" w:space="0" w:color="auto"/>
      </w:divBdr>
    </w:div>
    <w:div w:id="369913706">
      <w:bodyDiv w:val="1"/>
      <w:marLeft w:val="0"/>
      <w:marRight w:val="0"/>
      <w:marTop w:val="0"/>
      <w:marBottom w:val="0"/>
      <w:divBdr>
        <w:top w:val="none" w:sz="0" w:space="0" w:color="auto"/>
        <w:left w:val="none" w:sz="0" w:space="0" w:color="auto"/>
        <w:bottom w:val="none" w:sz="0" w:space="0" w:color="auto"/>
        <w:right w:val="none" w:sz="0" w:space="0" w:color="auto"/>
      </w:divBdr>
    </w:div>
    <w:div w:id="437915102">
      <w:bodyDiv w:val="1"/>
      <w:marLeft w:val="0"/>
      <w:marRight w:val="0"/>
      <w:marTop w:val="0"/>
      <w:marBottom w:val="0"/>
      <w:divBdr>
        <w:top w:val="none" w:sz="0" w:space="0" w:color="auto"/>
        <w:left w:val="none" w:sz="0" w:space="0" w:color="auto"/>
        <w:bottom w:val="none" w:sz="0" w:space="0" w:color="auto"/>
        <w:right w:val="none" w:sz="0" w:space="0" w:color="auto"/>
      </w:divBdr>
    </w:div>
    <w:div w:id="453057899">
      <w:bodyDiv w:val="1"/>
      <w:marLeft w:val="0"/>
      <w:marRight w:val="0"/>
      <w:marTop w:val="0"/>
      <w:marBottom w:val="0"/>
      <w:divBdr>
        <w:top w:val="none" w:sz="0" w:space="0" w:color="auto"/>
        <w:left w:val="none" w:sz="0" w:space="0" w:color="auto"/>
        <w:bottom w:val="none" w:sz="0" w:space="0" w:color="auto"/>
        <w:right w:val="none" w:sz="0" w:space="0" w:color="auto"/>
      </w:divBdr>
    </w:div>
    <w:div w:id="474373819">
      <w:bodyDiv w:val="1"/>
      <w:marLeft w:val="0"/>
      <w:marRight w:val="0"/>
      <w:marTop w:val="0"/>
      <w:marBottom w:val="0"/>
      <w:divBdr>
        <w:top w:val="none" w:sz="0" w:space="0" w:color="auto"/>
        <w:left w:val="none" w:sz="0" w:space="0" w:color="auto"/>
        <w:bottom w:val="none" w:sz="0" w:space="0" w:color="auto"/>
        <w:right w:val="none" w:sz="0" w:space="0" w:color="auto"/>
      </w:divBdr>
    </w:div>
    <w:div w:id="510148366">
      <w:bodyDiv w:val="1"/>
      <w:marLeft w:val="0"/>
      <w:marRight w:val="0"/>
      <w:marTop w:val="0"/>
      <w:marBottom w:val="0"/>
      <w:divBdr>
        <w:top w:val="none" w:sz="0" w:space="0" w:color="auto"/>
        <w:left w:val="none" w:sz="0" w:space="0" w:color="auto"/>
        <w:bottom w:val="none" w:sz="0" w:space="0" w:color="auto"/>
        <w:right w:val="none" w:sz="0" w:space="0" w:color="auto"/>
      </w:divBdr>
    </w:div>
    <w:div w:id="528372657">
      <w:bodyDiv w:val="1"/>
      <w:marLeft w:val="0"/>
      <w:marRight w:val="0"/>
      <w:marTop w:val="0"/>
      <w:marBottom w:val="0"/>
      <w:divBdr>
        <w:top w:val="none" w:sz="0" w:space="0" w:color="auto"/>
        <w:left w:val="none" w:sz="0" w:space="0" w:color="auto"/>
        <w:bottom w:val="none" w:sz="0" w:space="0" w:color="auto"/>
        <w:right w:val="none" w:sz="0" w:space="0" w:color="auto"/>
      </w:divBdr>
    </w:div>
    <w:div w:id="540480404">
      <w:bodyDiv w:val="1"/>
      <w:marLeft w:val="0"/>
      <w:marRight w:val="0"/>
      <w:marTop w:val="0"/>
      <w:marBottom w:val="0"/>
      <w:divBdr>
        <w:top w:val="none" w:sz="0" w:space="0" w:color="auto"/>
        <w:left w:val="none" w:sz="0" w:space="0" w:color="auto"/>
        <w:bottom w:val="none" w:sz="0" w:space="0" w:color="auto"/>
        <w:right w:val="none" w:sz="0" w:space="0" w:color="auto"/>
      </w:divBdr>
    </w:div>
    <w:div w:id="572546712">
      <w:bodyDiv w:val="1"/>
      <w:marLeft w:val="0"/>
      <w:marRight w:val="0"/>
      <w:marTop w:val="0"/>
      <w:marBottom w:val="0"/>
      <w:divBdr>
        <w:top w:val="none" w:sz="0" w:space="0" w:color="auto"/>
        <w:left w:val="none" w:sz="0" w:space="0" w:color="auto"/>
        <w:bottom w:val="none" w:sz="0" w:space="0" w:color="auto"/>
        <w:right w:val="none" w:sz="0" w:space="0" w:color="auto"/>
      </w:divBdr>
    </w:div>
    <w:div w:id="617377036">
      <w:bodyDiv w:val="1"/>
      <w:marLeft w:val="0"/>
      <w:marRight w:val="0"/>
      <w:marTop w:val="0"/>
      <w:marBottom w:val="0"/>
      <w:divBdr>
        <w:top w:val="none" w:sz="0" w:space="0" w:color="auto"/>
        <w:left w:val="none" w:sz="0" w:space="0" w:color="auto"/>
        <w:bottom w:val="none" w:sz="0" w:space="0" w:color="auto"/>
        <w:right w:val="none" w:sz="0" w:space="0" w:color="auto"/>
      </w:divBdr>
    </w:div>
    <w:div w:id="680623827">
      <w:bodyDiv w:val="1"/>
      <w:marLeft w:val="0"/>
      <w:marRight w:val="0"/>
      <w:marTop w:val="0"/>
      <w:marBottom w:val="0"/>
      <w:divBdr>
        <w:top w:val="none" w:sz="0" w:space="0" w:color="auto"/>
        <w:left w:val="none" w:sz="0" w:space="0" w:color="auto"/>
        <w:bottom w:val="none" w:sz="0" w:space="0" w:color="auto"/>
        <w:right w:val="none" w:sz="0" w:space="0" w:color="auto"/>
      </w:divBdr>
    </w:div>
    <w:div w:id="693504134">
      <w:bodyDiv w:val="1"/>
      <w:marLeft w:val="0"/>
      <w:marRight w:val="0"/>
      <w:marTop w:val="0"/>
      <w:marBottom w:val="0"/>
      <w:divBdr>
        <w:top w:val="none" w:sz="0" w:space="0" w:color="auto"/>
        <w:left w:val="none" w:sz="0" w:space="0" w:color="auto"/>
        <w:bottom w:val="none" w:sz="0" w:space="0" w:color="auto"/>
        <w:right w:val="none" w:sz="0" w:space="0" w:color="auto"/>
      </w:divBdr>
    </w:div>
    <w:div w:id="797644174">
      <w:bodyDiv w:val="1"/>
      <w:marLeft w:val="0"/>
      <w:marRight w:val="0"/>
      <w:marTop w:val="0"/>
      <w:marBottom w:val="0"/>
      <w:divBdr>
        <w:top w:val="none" w:sz="0" w:space="0" w:color="auto"/>
        <w:left w:val="none" w:sz="0" w:space="0" w:color="auto"/>
        <w:bottom w:val="none" w:sz="0" w:space="0" w:color="auto"/>
        <w:right w:val="none" w:sz="0" w:space="0" w:color="auto"/>
      </w:divBdr>
    </w:div>
    <w:div w:id="822237570">
      <w:bodyDiv w:val="1"/>
      <w:marLeft w:val="0"/>
      <w:marRight w:val="0"/>
      <w:marTop w:val="0"/>
      <w:marBottom w:val="0"/>
      <w:divBdr>
        <w:top w:val="none" w:sz="0" w:space="0" w:color="auto"/>
        <w:left w:val="none" w:sz="0" w:space="0" w:color="auto"/>
        <w:bottom w:val="none" w:sz="0" w:space="0" w:color="auto"/>
        <w:right w:val="none" w:sz="0" w:space="0" w:color="auto"/>
      </w:divBdr>
    </w:div>
    <w:div w:id="895552242">
      <w:bodyDiv w:val="1"/>
      <w:marLeft w:val="0"/>
      <w:marRight w:val="0"/>
      <w:marTop w:val="0"/>
      <w:marBottom w:val="0"/>
      <w:divBdr>
        <w:top w:val="none" w:sz="0" w:space="0" w:color="auto"/>
        <w:left w:val="none" w:sz="0" w:space="0" w:color="auto"/>
        <w:bottom w:val="none" w:sz="0" w:space="0" w:color="auto"/>
        <w:right w:val="none" w:sz="0" w:space="0" w:color="auto"/>
      </w:divBdr>
    </w:div>
    <w:div w:id="952592310">
      <w:bodyDiv w:val="1"/>
      <w:marLeft w:val="0"/>
      <w:marRight w:val="0"/>
      <w:marTop w:val="0"/>
      <w:marBottom w:val="0"/>
      <w:divBdr>
        <w:top w:val="none" w:sz="0" w:space="0" w:color="auto"/>
        <w:left w:val="none" w:sz="0" w:space="0" w:color="auto"/>
        <w:bottom w:val="none" w:sz="0" w:space="0" w:color="auto"/>
        <w:right w:val="none" w:sz="0" w:space="0" w:color="auto"/>
      </w:divBdr>
    </w:div>
    <w:div w:id="1114178136">
      <w:bodyDiv w:val="1"/>
      <w:marLeft w:val="0"/>
      <w:marRight w:val="0"/>
      <w:marTop w:val="0"/>
      <w:marBottom w:val="0"/>
      <w:divBdr>
        <w:top w:val="none" w:sz="0" w:space="0" w:color="auto"/>
        <w:left w:val="none" w:sz="0" w:space="0" w:color="auto"/>
        <w:bottom w:val="none" w:sz="0" w:space="0" w:color="auto"/>
        <w:right w:val="none" w:sz="0" w:space="0" w:color="auto"/>
      </w:divBdr>
    </w:div>
    <w:div w:id="1215199999">
      <w:bodyDiv w:val="1"/>
      <w:marLeft w:val="0"/>
      <w:marRight w:val="0"/>
      <w:marTop w:val="0"/>
      <w:marBottom w:val="0"/>
      <w:divBdr>
        <w:top w:val="none" w:sz="0" w:space="0" w:color="auto"/>
        <w:left w:val="none" w:sz="0" w:space="0" w:color="auto"/>
        <w:bottom w:val="none" w:sz="0" w:space="0" w:color="auto"/>
        <w:right w:val="none" w:sz="0" w:space="0" w:color="auto"/>
      </w:divBdr>
    </w:div>
    <w:div w:id="1223979364">
      <w:bodyDiv w:val="1"/>
      <w:marLeft w:val="0"/>
      <w:marRight w:val="0"/>
      <w:marTop w:val="0"/>
      <w:marBottom w:val="0"/>
      <w:divBdr>
        <w:top w:val="none" w:sz="0" w:space="0" w:color="auto"/>
        <w:left w:val="none" w:sz="0" w:space="0" w:color="auto"/>
        <w:bottom w:val="none" w:sz="0" w:space="0" w:color="auto"/>
        <w:right w:val="none" w:sz="0" w:space="0" w:color="auto"/>
      </w:divBdr>
    </w:div>
    <w:div w:id="1424688577">
      <w:bodyDiv w:val="1"/>
      <w:marLeft w:val="0"/>
      <w:marRight w:val="0"/>
      <w:marTop w:val="0"/>
      <w:marBottom w:val="0"/>
      <w:divBdr>
        <w:top w:val="none" w:sz="0" w:space="0" w:color="auto"/>
        <w:left w:val="none" w:sz="0" w:space="0" w:color="auto"/>
        <w:bottom w:val="none" w:sz="0" w:space="0" w:color="auto"/>
        <w:right w:val="none" w:sz="0" w:space="0" w:color="auto"/>
      </w:divBdr>
    </w:div>
    <w:div w:id="1448281104">
      <w:bodyDiv w:val="1"/>
      <w:marLeft w:val="0"/>
      <w:marRight w:val="0"/>
      <w:marTop w:val="0"/>
      <w:marBottom w:val="0"/>
      <w:divBdr>
        <w:top w:val="none" w:sz="0" w:space="0" w:color="auto"/>
        <w:left w:val="none" w:sz="0" w:space="0" w:color="auto"/>
        <w:bottom w:val="none" w:sz="0" w:space="0" w:color="auto"/>
        <w:right w:val="none" w:sz="0" w:space="0" w:color="auto"/>
      </w:divBdr>
    </w:div>
    <w:div w:id="1449201869">
      <w:bodyDiv w:val="1"/>
      <w:marLeft w:val="0"/>
      <w:marRight w:val="0"/>
      <w:marTop w:val="0"/>
      <w:marBottom w:val="0"/>
      <w:divBdr>
        <w:top w:val="none" w:sz="0" w:space="0" w:color="auto"/>
        <w:left w:val="none" w:sz="0" w:space="0" w:color="auto"/>
        <w:bottom w:val="none" w:sz="0" w:space="0" w:color="auto"/>
        <w:right w:val="none" w:sz="0" w:space="0" w:color="auto"/>
      </w:divBdr>
    </w:div>
    <w:div w:id="1627158439">
      <w:bodyDiv w:val="1"/>
      <w:marLeft w:val="0"/>
      <w:marRight w:val="0"/>
      <w:marTop w:val="0"/>
      <w:marBottom w:val="0"/>
      <w:divBdr>
        <w:top w:val="none" w:sz="0" w:space="0" w:color="auto"/>
        <w:left w:val="none" w:sz="0" w:space="0" w:color="auto"/>
        <w:bottom w:val="none" w:sz="0" w:space="0" w:color="auto"/>
        <w:right w:val="none" w:sz="0" w:space="0" w:color="auto"/>
      </w:divBdr>
    </w:div>
    <w:div w:id="1699624838">
      <w:bodyDiv w:val="1"/>
      <w:marLeft w:val="0"/>
      <w:marRight w:val="0"/>
      <w:marTop w:val="0"/>
      <w:marBottom w:val="0"/>
      <w:divBdr>
        <w:top w:val="none" w:sz="0" w:space="0" w:color="auto"/>
        <w:left w:val="none" w:sz="0" w:space="0" w:color="auto"/>
        <w:bottom w:val="none" w:sz="0" w:space="0" w:color="auto"/>
        <w:right w:val="none" w:sz="0" w:space="0" w:color="auto"/>
      </w:divBdr>
    </w:div>
    <w:div w:id="1783525581">
      <w:bodyDiv w:val="1"/>
      <w:marLeft w:val="0"/>
      <w:marRight w:val="0"/>
      <w:marTop w:val="0"/>
      <w:marBottom w:val="0"/>
      <w:divBdr>
        <w:top w:val="none" w:sz="0" w:space="0" w:color="auto"/>
        <w:left w:val="none" w:sz="0" w:space="0" w:color="auto"/>
        <w:bottom w:val="none" w:sz="0" w:space="0" w:color="auto"/>
        <w:right w:val="none" w:sz="0" w:space="0" w:color="auto"/>
      </w:divBdr>
    </w:div>
    <w:div w:id="1921988725">
      <w:bodyDiv w:val="1"/>
      <w:marLeft w:val="0"/>
      <w:marRight w:val="0"/>
      <w:marTop w:val="0"/>
      <w:marBottom w:val="0"/>
      <w:divBdr>
        <w:top w:val="none" w:sz="0" w:space="0" w:color="auto"/>
        <w:left w:val="none" w:sz="0" w:space="0" w:color="auto"/>
        <w:bottom w:val="none" w:sz="0" w:space="0" w:color="auto"/>
        <w:right w:val="none" w:sz="0" w:space="0" w:color="auto"/>
      </w:divBdr>
    </w:div>
    <w:div w:id="20198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CC4762-4A62-0D42-8EFA-323277A5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Holbrook</dc:creator>
  <cp:keywords/>
  <dc:description/>
  <cp:lastModifiedBy>Holbrook Parish Clerk</cp:lastModifiedBy>
  <cp:revision>21</cp:revision>
  <cp:lastPrinted>2021-05-17T10:17:00Z</cp:lastPrinted>
  <dcterms:created xsi:type="dcterms:W3CDTF">2024-06-03T10:33:00Z</dcterms:created>
  <dcterms:modified xsi:type="dcterms:W3CDTF">2024-06-05T10:44:00Z</dcterms:modified>
</cp:coreProperties>
</file>