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2154E" w14:textId="07ABAA17" w:rsidR="00D8254B" w:rsidRDefault="000C30EE" w:rsidP="0059165E">
      <w:pPr>
        <w:spacing w:after="0"/>
        <w:jc w:val="center"/>
        <w:rPr>
          <w:rFonts w:ascii="Arial" w:hAnsi="Arial" w:cs="Arial"/>
          <w:b/>
          <w:u w:val="single"/>
        </w:rPr>
      </w:pPr>
      <w:r w:rsidRPr="0027123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797A" w:rsidRPr="00271235">
        <w:rPr>
          <w:rFonts w:ascii="Arial" w:hAnsi="Arial" w:cs="Arial"/>
          <w:b/>
          <w:sz w:val="20"/>
          <w:szCs w:val="20"/>
        </w:rPr>
        <w:t xml:space="preserve">    </w:t>
      </w:r>
      <w:r w:rsidR="008D797A" w:rsidRPr="00271235">
        <w:rPr>
          <w:rFonts w:ascii="Arial" w:hAnsi="Arial" w:cs="Arial"/>
          <w:bCs/>
          <w:sz w:val="20"/>
          <w:szCs w:val="20"/>
        </w:rPr>
        <w:t xml:space="preserve">  </w:t>
      </w:r>
      <w:bookmarkStart w:id="0" w:name="_Hlk92205786"/>
      <w:r w:rsidR="00706E1C" w:rsidRPr="000D1F17">
        <w:rPr>
          <w:rFonts w:ascii="Arial" w:hAnsi="Arial" w:cs="Arial"/>
          <w:b/>
          <w:u w:val="single"/>
        </w:rPr>
        <w:t>Holbrook Parish Council</w:t>
      </w:r>
    </w:p>
    <w:p w14:paraId="3AA6EA0D" w14:textId="27766267" w:rsidR="00706E1C" w:rsidRDefault="00706E1C" w:rsidP="0059165E">
      <w:pPr>
        <w:spacing w:after="0"/>
        <w:jc w:val="center"/>
        <w:rPr>
          <w:rFonts w:ascii="Arial" w:hAnsi="Arial" w:cs="Arial"/>
          <w:b/>
          <w:u w:val="single"/>
        </w:rPr>
      </w:pPr>
      <w:r w:rsidRPr="000D1F17">
        <w:rPr>
          <w:rFonts w:ascii="Arial" w:hAnsi="Arial" w:cs="Arial"/>
          <w:b/>
          <w:u w:val="single"/>
        </w:rPr>
        <w:t xml:space="preserve">Responsible Financial Officers Report </w:t>
      </w:r>
      <w:r w:rsidR="00F00DE2" w:rsidRPr="000D1F17">
        <w:rPr>
          <w:rFonts w:ascii="Arial" w:hAnsi="Arial" w:cs="Arial"/>
          <w:b/>
          <w:u w:val="single"/>
        </w:rPr>
        <w:t xml:space="preserve">to meeting </w:t>
      </w:r>
      <w:r w:rsidR="00237E38">
        <w:rPr>
          <w:rFonts w:ascii="Arial" w:hAnsi="Arial" w:cs="Arial"/>
          <w:b/>
          <w:u w:val="single"/>
        </w:rPr>
        <w:t>20</w:t>
      </w:r>
      <w:r w:rsidR="00237E38" w:rsidRPr="00237E38">
        <w:rPr>
          <w:rFonts w:ascii="Arial" w:hAnsi="Arial" w:cs="Arial"/>
          <w:b/>
          <w:u w:val="single"/>
          <w:vertAlign w:val="superscript"/>
        </w:rPr>
        <w:t>th</w:t>
      </w:r>
      <w:r w:rsidR="00237E38">
        <w:rPr>
          <w:rFonts w:ascii="Arial" w:hAnsi="Arial" w:cs="Arial"/>
          <w:b/>
          <w:u w:val="single"/>
        </w:rPr>
        <w:t xml:space="preserve"> May 2024</w:t>
      </w:r>
    </w:p>
    <w:p w14:paraId="314EDA47" w14:textId="51E4DDC4" w:rsidR="00C357CD" w:rsidRDefault="00C357CD" w:rsidP="00C357CD">
      <w:pPr>
        <w:spacing w:after="0"/>
        <w:jc w:val="center"/>
        <w:rPr>
          <w:rFonts w:ascii="Arial" w:hAnsi="Arial" w:cs="Arial"/>
          <w:b/>
        </w:rPr>
      </w:pPr>
      <w:r w:rsidRPr="000D1F17">
        <w:rPr>
          <w:rFonts w:ascii="Arial" w:hAnsi="Arial" w:cs="Arial"/>
          <w:b/>
        </w:rPr>
        <w:t xml:space="preserve">Details of expenditure for the period </w:t>
      </w:r>
      <w:r>
        <w:rPr>
          <w:rFonts w:ascii="Arial" w:hAnsi="Arial" w:cs="Arial"/>
          <w:b/>
        </w:rPr>
        <w:t>1</w:t>
      </w:r>
      <w:r w:rsidRPr="00FE1AA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="00B27EA8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 xml:space="preserve">to </w:t>
      </w:r>
      <w:r w:rsidR="00B27EA8">
        <w:rPr>
          <w:rFonts w:ascii="Arial" w:hAnsi="Arial" w:cs="Arial"/>
          <w:b/>
        </w:rPr>
        <w:t>30</w:t>
      </w:r>
      <w:r w:rsidR="00B27EA8" w:rsidRPr="00B27EA8">
        <w:rPr>
          <w:rFonts w:ascii="Arial" w:hAnsi="Arial" w:cs="Arial"/>
          <w:b/>
          <w:vertAlign w:val="superscript"/>
        </w:rPr>
        <w:t>th</w:t>
      </w:r>
      <w:r w:rsidR="00B27EA8">
        <w:rPr>
          <w:rFonts w:ascii="Arial" w:hAnsi="Arial" w:cs="Arial"/>
          <w:b/>
        </w:rPr>
        <w:t xml:space="preserve"> April</w:t>
      </w:r>
      <w:r w:rsidRPr="000D1F17">
        <w:rPr>
          <w:rFonts w:ascii="Arial" w:hAnsi="Arial" w:cs="Arial"/>
          <w:b/>
        </w:rPr>
        <w:t xml:space="preserve"> inclusive </w:t>
      </w: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1414"/>
        <w:gridCol w:w="5956"/>
        <w:gridCol w:w="1645"/>
      </w:tblGrid>
      <w:tr w:rsidR="00046406" w:rsidRPr="00D83F32" w14:paraId="4F799A3F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22B9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>Date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1151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>Payee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F884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>Amount</w:t>
            </w:r>
          </w:p>
        </w:tc>
      </w:tr>
      <w:tr w:rsidR="00046406" w:rsidRPr="00D83F32" w14:paraId="3CD37C15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48DE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E3192F"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84A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>Mrs J M Hazlewood – Clerk’s Expenses 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8F34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 xml:space="preserve">£     </w:t>
            </w:r>
            <w:r>
              <w:rPr>
                <w:rFonts w:ascii="Arial" w:hAnsi="Arial" w:cs="Arial"/>
              </w:rPr>
              <w:t>26,00</w:t>
            </w:r>
          </w:p>
        </w:tc>
      </w:tr>
      <w:tr w:rsidR="00046406" w:rsidRPr="00D83F32" w14:paraId="3A28FC35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0254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E3192F"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1C0B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>Mrs J M Hazlewood – Clerk’s Salary 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AF6E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>£   726.45</w:t>
            </w:r>
          </w:p>
        </w:tc>
      </w:tr>
      <w:tr w:rsidR="00046406" w:rsidRPr="00D83F32" w14:paraId="7E3EBDB4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50A6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E3192F"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D082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>Mr W Abbott – Community Caretaker Salary 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141F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 xml:space="preserve">£   </w:t>
            </w:r>
            <w:r>
              <w:rPr>
                <w:rFonts w:ascii="Arial" w:hAnsi="Arial" w:cs="Arial"/>
              </w:rPr>
              <w:t>291.03</w:t>
            </w:r>
          </w:p>
        </w:tc>
      </w:tr>
      <w:tr w:rsidR="00046406" w:rsidRPr="00D83F32" w14:paraId="51A14E23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976E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E3192F"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264F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 xml:space="preserve">HMRC – PAYE &amp; Employer’s NI (BACs)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8C3F" w14:textId="77777777" w:rsidR="00046406" w:rsidRPr="00253A95" w:rsidRDefault="00046406" w:rsidP="0001633A">
            <w:pPr>
              <w:jc w:val="both"/>
            </w:pPr>
            <w:r w:rsidRPr="00D83F32">
              <w:rPr>
                <w:rFonts w:ascii="Arial" w:hAnsi="Arial" w:cs="Arial"/>
              </w:rPr>
              <w:t xml:space="preserve">£   </w:t>
            </w:r>
            <w:r>
              <w:rPr>
                <w:rFonts w:ascii="Arial" w:hAnsi="Arial" w:cs="Arial"/>
              </w:rPr>
              <w:t>233.51</w:t>
            </w:r>
          </w:p>
        </w:tc>
      </w:tr>
      <w:tr w:rsidR="00046406" w:rsidRPr="00D83F32" w14:paraId="618096D8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7B4B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A86020"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B947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>M Thompson – Fitness Classes 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81C8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 xml:space="preserve">£   </w:t>
            </w:r>
            <w:r>
              <w:rPr>
                <w:rFonts w:ascii="Arial" w:hAnsi="Arial" w:cs="Arial"/>
              </w:rPr>
              <w:t xml:space="preserve">  75</w:t>
            </w:r>
            <w:r w:rsidRPr="00D83F32">
              <w:rPr>
                <w:rFonts w:ascii="Arial" w:hAnsi="Arial" w:cs="Arial"/>
              </w:rPr>
              <w:t>.00</w:t>
            </w:r>
          </w:p>
        </w:tc>
      </w:tr>
      <w:tr w:rsidR="00046406" w:rsidRPr="00D83F32" w14:paraId="082F143C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CE5D" w14:textId="77777777" w:rsidR="00046406" w:rsidRPr="00E3192F" w:rsidRDefault="00046406" w:rsidP="0001633A">
            <w:pPr>
              <w:jc w:val="both"/>
              <w:rPr>
                <w:bCs/>
              </w:rPr>
            </w:pPr>
            <w:r w:rsidRPr="00A86020"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7CDC" w14:textId="77777777" w:rsidR="00046406" w:rsidRPr="008976DF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S. Ingleton – Wildflower seeds 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ACD" w14:textId="77777777" w:rsidR="00046406" w:rsidRPr="008976DF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£     27.50</w:t>
            </w:r>
          </w:p>
        </w:tc>
      </w:tr>
      <w:tr w:rsidR="00046406" w:rsidRPr="00D83F32" w14:paraId="6C9C5733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BA5" w14:textId="77777777" w:rsidR="00046406" w:rsidRPr="00E3192F" w:rsidRDefault="00046406" w:rsidP="0001633A">
            <w:pPr>
              <w:jc w:val="both"/>
              <w:rPr>
                <w:bCs/>
              </w:rPr>
            </w:pPr>
            <w:r w:rsidRPr="00A86020"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51C" w14:textId="77777777" w:rsidR="00046406" w:rsidRPr="008976DF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CAS – Hiscox Insurance, pavilion insurance 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F78A" w14:textId="77777777" w:rsidR="00046406" w:rsidRPr="008976DF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£   308.00</w:t>
            </w:r>
          </w:p>
        </w:tc>
      </w:tr>
      <w:tr w:rsidR="00046406" w:rsidRPr="00D83F32" w14:paraId="5C1C509C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3936" w14:textId="77777777" w:rsidR="00046406" w:rsidRPr="00E3192F" w:rsidRDefault="00046406" w:rsidP="0001633A">
            <w:pPr>
              <w:jc w:val="both"/>
              <w:rPr>
                <w:bCs/>
              </w:rPr>
            </w:pPr>
            <w:r w:rsidRPr="00A86020"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A5DC" w14:textId="77777777" w:rsidR="00046406" w:rsidRPr="008976DF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Suffolk CC - Street light charges &amp; maintenance 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935" w14:textId="77777777" w:rsidR="00046406" w:rsidRPr="008976DF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£ 2094.33</w:t>
            </w:r>
          </w:p>
        </w:tc>
      </w:tr>
      <w:tr w:rsidR="00046406" w:rsidRPr="00D83F32" w14:paraId="365E5870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6243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E3192F"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C44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SALC – 2</w:t>
            </w:r>
            <w:r w:rsidRPr="00A01A4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half payroll services for 23-24 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E413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 xml:space="preserve">£     </w:t>
            </w:r>
            <w:r>
              <w:rPr>
                <w:rFonts w:ascii="Arial" w:hAnsi="Arial" w:cs="Arial"/>
              </w:rPr>
              <w:t>82.80</w:t>
            </w:r>
          </w:p>
        </w:tc>
      </w:tr>
      <w:tr w:rsidR="00046406" w:rsidRPr="00A01A48" w14:paraId="122ED7C7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89E" w14:textId="77777777" w:rsidR="00046406" w:rsidRPr="00A01A48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D9F" w14:textId="77777777" w:rsidR="00046406" w:rsidRPr="00A01A48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SALC – Annual Membership 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000" w14:textId="77777777" w:rsidR="00046406" w:rsidRPr="00A01A48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£   625.27</w:t>
            </w:r>
          </w:p>
        </w:tc>
      </w:tr>
      <w:tr w:rsidR="00046406" w:rsidRPr="00575DD2" w14:paraId="6AF912DB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B6B9" w14:textId="77777777" w:rsidR="00046406" w:rsidRPr="00575DD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159" w14:textId="77777777" w:rsidR="00046406" w:rsidRPr="00575DD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Tuddenham Press – Parish Papers 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A84" w14:textId="77777777" w:rsidR="00046406" w:rsidRPr="00575DD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£   385.00  </w:t>
            </w:r>
          </w:p>
        </w:tc>
      </w:tr>
      <w:tr w:rsidR="00046406" w:rsidRPr="00D83F32" w14:paraId="4005F2E8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51A5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E3192F"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0AF9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>Lottery – 1</w:t>
            </w:r>
            <w:r w:rsidRPr="00D83F32">
              <w:rPr>
                <w:rFonts w:ascii="Arial" w:hAnsi="Arial" w:cs="Arial"/>
                <w:vertAlign w:val="superscript"/>
              </w:rPr>
              <w:t>st</w:t>
            </w:r>
            <w:r w:rsidRPr="00D83F32">
              <w:rPr>
                <w:rFonts w:ascii="Arial" w:hAnsi="Arial" w:cs="Arial"/>
              </w:rPr>
              <w:t xml:space="preserve"> prize </w:t>
            </w:r>
            <w:r>
              <w:rPr>
                <w:rFonts w:ascii="Arial" w:hAnsi="Arial" w:cs="Arial"/>
              </w:rPr>
              <w:t>April</w:t>
            </w:r>
            <w:r w:rsidRPr="00D83F32">
              <w:rPr>
                <w:rFonts w:ascii="Arial" w:hAnsi="Arial" w:cs="Arial"/>
              </w:rPr>
              <w:t xml:space="preserve"> draw</w:t>
            </w:r>
            <w:r>
              <w:rPr>
                <w:rFonts w:ascii="Arial" w:hAnsi="Arial" w:cs="Arial"/>
              </w:rPr>
              <w:t xml:space="preserve"> –(BACs)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8D1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 xml:space="preserve">£     </w:t>
            </w:r>
            <w:r>
              <w:rPr>
                <w:rFonts w:ascii="Arial" w:hAnsi="Arial" w:cs="Arial"/>
              </w:rPr>
              <w:t>20.50</w:t>
            </w:r>
          </w:p>
        </w:tc>
      </w:tr>
      <w:tr w:rsidR="00046406" w:rsidRPr="00D83F32" w14:paraId="37E3F3B1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84F9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E3192F"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245E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>Lottery – 2</w:t>
            </w:r>
            <w:r w:rsidRPr="00D83F32">
              <w:rPr>
                <w:rFonts w:ascii="Arial" w:hAnsi="Arial" w:cs="Arial"/>
                <w:vertAlign w:val="superscript"/>
              </w:rPr>
              <w:t>nd</w:t>
            </w:r>
            <w:r w:rsidRPr="00D83F32">
              <w:rPr>
                <w:rFonts w:ascii="Arial" w:hAnsi="Arial" w:cs="Arial"/>
              </w:rPr>
              <w:t xml:space="preserve"> prize </w:t>
            </w:r>
            <w:r>
              <w:rPr>
                <w:rFonts w:ascii="Arial" w:hAnsi="Arial" w:cs="Arial"/>
              </w:rPr>
              <w:t>April</w:t>
            </w:r>
            <w:r w:rsidRPr="00D83F32">
              <w:rPr>
                <w:rFonts w:ascii="Arial" w:hAnsi="Arial" w:cs="Arial"/>
              </w:rPr>
              <w:t xml:space="preserve"> draw</w:t>
            </w:r>
            <w:r>
              <w:rPr>
                <w:rFonts w:ascii="Arial" w:hAnsi="Arial" w:cs="Arial"/>
              </w:rPr>
              <w:t xml:space="preserve"> -</w:t>
            </w:r>
            <w:r w:rsidRPr="00D83F32">
              <w:rPr>
                <w:rFonts w:ascii="Arial" w:hAnsi="Arial" w:cs="Arial"/>
              </w:rPr>
              <w:t xml:space="preserve"> 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F0CF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 xml:space="preserve">£     </w:t>
            </w:r>
            <w:r>
              <w:rPr>
                <w:rFonts w:ascii="Arial" w:hAnsi="Arial" w:cs="Arial"/>
              </w:rPr>
              <w:t>12.30</w:t>
            </w:r>
          </w:p>
        </w:tc>
      </w:tr>
      <w:tr w:rsidR="00046406" w:rsidRPr="00D83F32" w14:paraId="667E8A2D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9382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E3192F">
              <w:rPr>
                <w:rFonts w:ascii="Arial" w:hAnsi="Arial" w:cs="Arial"/>
              </w:rPr>
              <w:t>16.04.24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C3A2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>Lottery – 3</w:t>
            </w:r>
            <w:r w:rsidRPr="00D83F32">
              <w:rPr>
                <w:rFonts w:ascii="Arial" w:hAnsi="Arial" w:cs="Arial"/>
                <w:vertAlign w:val="superscript"/>
              </w:rPr>
              <w:t>rd</w:t>
            </w:r>
            <w:r w:rsidRPr="00D83F32">
              <w:rPr>
                <w:rFonts w:ascii="Arial" w:hAnsi="Arial" w:cs="Arial"/>
              </w:rPr>
              <w:t xml:space="preserve"> prize </w:t>
            </w:r>
            <w:r>
              <w:rPr>
                <w:rFonts w:ascii="Arial" w:hAnsi="Arial" w:cs="Arial"/>
              </w:rPr>
              <w:t>April</w:t>
            </w:r>
            <w:r w:rsidRPr="00D83F32">
              <w:rPr>
                <w:rFonts w:ascii="Arial" w:hAnsi="Arial" w:cs="Arial"/>
              </w:rPr>
              <w:t xml:space="preserve"> draw – </w:t>
            </w:r>
            <w:r>
              <w:rPr>
                <w:rFonts w:ascii="Arial" w:hAnsi="Arial" w:cs="Arial"/>
              </w:rPr>
              <w:t>(BACs)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FCC9" w14:textId="77777777" w:rsidR="00046406" w:rsidRPr="00D83F32" w:rsidRDefault="00046406" w:rsidP="0001633A">
            <w:pPr>
              <w:jc w:val="both"/>
              <w:rPr>
                <w:rFonts w:ascii="Arial" w:hAnsi="Arial" w:cs="Arial"/>
                <w:bCs/>
              </w:rPr>
            </w:pPr>
            <w:r w:rsidRPr="00D83F32">
              <w:rPr>
                <w:rFonts w:ascii="Arial" w:hAnsi="Arial" w:cs="Arial"/>
              </w:rPr>
              <w:t xml:space="preserve">£     </w:t>
            </w:r>
            <w:r>
              <w:rPr>
                <w:rFonts w:ascii="Arial" w:hAnsi="Arial" w:cs="Arial"/>
              </w:rPr>
              <w:t xml:space="preserve">  8.20</w:t>
            </w:r>
          </w:p>
        </w:tc>
      </w:tr>
      <w:tr w:rsidR="00255504" w:rsidRPr="00D83F32" w14:paraId="476A6674" w14:textId="77777777" w:rsidTr="0001633A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F8D" w14:textId="0422C585" w:rsidR="00255504" w:rsidRPr="00E3192F" w:rsidRDefault="00255504" w:rsidP="000163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25.04.24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FA1" w14:textId="1885EA7A" w:rsidR="00255504" w:rsidRPr="00D83F32" w:rsidRDefault="00255504" w:rsidP="000163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Cooperative Stores, refreshments Parish Meeting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838C" w14:textId="417D5B16" w:rsidR="00255504" w:rsidRPr="00D83F32" w:rsidRDefault="00255504" w:rsidP="000163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     13.99</w:t>
            </w:r>
          </w:p>
        </w:tc>
      </w:tr>
    </w:tbl>
    <w:p w14:paraId="6BBB1623" w14:textId="77777777" w:rsidR="00237E38" w:rsidRPr="000D1F17" w:rsidRDefault="00237E38" w:rsidP="00C357CD">
      <w:pPr>
        <w:spacing w:after="0"/>
        <w:jc w:val="center"/>
        <w:rPr>
          <w:rFonts w:ascii="Arial" w:hAnsi="Arial" w:cs="Arial"/>
          <w:b/>
          <w:u w:val="single"/>
        </w:rPr>
      </w:pPr>
    </w:p>
    <w:p w14:paraId="1341038F" w14:textId="007D95EC" w:rsidR="001F06C7" w:rsidRDefault="004A298B" w:rsidP="0059165E">
      <w:pPr>
        <w:spacing w:after="0"/>
        <w:jc w:val="center"/>
        <w:rPr>
          <w:rFonts w:ascii="Arial" w:hAnsi="Arial" w:cs="Arial"/>
          <w:b/>
        </w:rPr>
      </w:pPr>
      <w:r w:rsidRPr="004A298B">
        <w:rPr>
          <w:rFonts w:ascii="Arial" w:hAnsi="Arial" w:cs="Arial"/>
          <w:b/>
          <w:noProof/>
        </w:rPr>
        <w:drawing>
          <wp:inline distT="0" distB="0" distL="0" distR="0" wp14:anchorId="2226AA6A" wp14:editId="7DD06F91">
            <wp:extent cx="5861962" cy="6256922"/>
            <wp:effectExtent l="0" t="0" r="5715" b="0"/>
            <wp:docPr id="15857691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68" cy="630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25098" w14:textId="4C8EDFE9" w:rsidR="00E82FD5" w:rsidRDefault="00E82FD5" w:rsidP="00C465FD">
      <w:pPr>
        <w:spacing w:after="0"/>
        <w:jc w:val="center"/>
        <w:rPr>
          <w:rFonts w:ascii="Arial" w:hAnsi="Arial" w:cs="Arial"/>
          <w:b/>
        </w:rPr>
      </w:pPr>
    </w:p>
    <w:p w14:paraId="03A5AB36" w14:textId="6CED297B" w:rsidR="00207DE1" w:rsidRPr="000D1F17" w:rsidRDefault="00207DE1" w:rsidP="0059165E">
      <w:pPr>
        <w:spacing w:after="0"/>
        <w:jc w:val="center"/>
        <w:rPr>
          <w:rFonts w:ascii="Arial" w:hAnsi="Arial" w:cs="Arial"/>
          <w:b/>
        </w:rPr>
      </w:pPr>
    </w:p>
    <w:bookmarkEnd w:id="0"/>
    <w:tbl>
      <w:tblPr>
        <w:tblW w:w="1566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0915"/>
        <w:gridCol w:w="4752"/>
      </w:tblGrid>
      <w:tr w:rsidR="00071882" w14:paraId="2F6E585F" w14:textId="77777777" w:rsidTr="00A576C8">
        <w:trPr>
          <w:trHeight w:val="30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28E21AF0" w14:textId="0BA77501" w:rsidR="00203639" w:rsidRDefault="00203639" w:rsidP="00C6798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7883537" w14:textId="77777777" w:rsidR="00071882" w:rsidRDefault="00071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924C94A" w14:textId="77777777" w:rsidR="00C67987" w:rsidRDefault="00C67987" w:rsidP="003D0A4B">
      <w:pPr>
        <w:rPr>
          <w:rFonts w:ascii="Arial" w:hAnsi="Arial" w:cs="Arial"/>
          <w:b/>
          <w:bCs/>
          <w:noProof/>
        </w:rPr>
      </w:pPr>
    </w:p>
    <w:p w14:paraId="784492BB" w14:textId="79BA59FD" w:rsidR="00B81786" w:rsidRPr="00F91521" w:rsidRDefault="00472495" w:rsidP="003D0A4B">
      <w:pPr>
        <w:rPr>
          <w:rFonts w:ascii="Arial" w:hAnsi="Arial" w:cs="Arial"/>
          <w:b/>
          <w:bCs/>
          <w:noProof/>
        </w:rPr>
      </w:pPr>
      <w:r w:rsidRPr="00472495"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7FE8433D" wp14:editId="20F637FA">
            <wp:extent cx="5668523" cy="10241747"/>
            <wp:effectExtent l="0" t="0" r="8890" b="7620"/>
            <wp:docPr id="18947324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972" cy="1026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786" w:rsidRPr="00F91521">
        <w:rPr>
          <w:rFonts w:ascii="Arial" w:hAnsi="Arial" w:cs="Arial"/>
          <w:b/>
          <w:bCs/>
          <w:noProof/>
        </w:rPr>
        <w:t>ADDITIONAL COMMENTARY</w:t>
      </w:r>
    </w:p>
    <w:p w14:paraId="6ECD7E84" w14:textId="4F61B296" w:rsidR="00986589" w:rsidRPr="00F91521" w:rsidRDefault="00986589" w:rsidP="00986589">
      <w:pPr>
        <w:rPr>
          <w:rFonts w:ascii="Arial" w:hAnsi="Arial" w:cs="Arial"/>
          <w:noProof/>
        </w:rPr>
      </w:pPr>
      <w:r w:rsidRPr="00F91521">
        <w:rPr>
          <w:rFonts w:ascii="Arial" w:hAnsi="Arial" w:cs="Arial"/>
          <w:noProof/>
        </w:rPr>
        <w:t xml:space="preserve">The summary and reconciliation include all receipts and payments up to and including </w:t>
      </w:r>
      <w:r w:rsidR="000F7757">
        <w:rPr>
          <w:rFonts w:ascii="Arial" w:hAnsi="Arial" w:cs="Arial"/>
          <w:noProof/>
        </w:rPr>
        <w:t>30</w:t>
      </w:r>
      <w:r w:rsidR="000F7757" w:rsidRPr="000F7757">
        <w:rPr>
          <w:rFonts w:ascii="Arial" w:hAnsi="Arial" w:cs="Arial"/>
          <w:noProof/>
          <w:vertAlign w:val="superscript"/>
        </w:rPr>
        <w:t>th</w:t>
      </w:r>
      <w:r w:rsidR="000F7757">
        <w:rPr>
          <w:rFonts w:ascii="Arial" w:hAnsi="Arial" w:cs="Arial"/>
          <w:noProof/>
        </w:rPr>
        <w:t xml:space="preserve"> April 202</w:t>
      </w:r>
      <w:r w:rsidR="004A298B">
        <w:rPr>
          <w:rFonts w:ascii="Arial" w:hAnsi="Arial" w:cs="Arial"/>
          <w:noProof/>
        </w:rPr>
        <w:t>4</w:t>
      </w:r>
      <w:r w:rsidR="00A576C8">
        <w:rPr>
          <w:rFonts w:ascii="Arial" w:hAnsi="Arial" w:cs="Arial"/>
          <w:noProof/>
        </w:rPr>
        <w:t xml:space="preserve"> </w:t>
      </w:r>
      <w:r w:rsidR="000F7757">
        <w:rPr>
          <w:rFonts w:ascii="Arial" w:hAnsi="Arial" w:cs="Arial"/>
          <w:noProof/>
        </w:rPr>
        <w:t>– 1/12</w:t>
      </w:r>
      <w:r w:rsidR="000F7757" w:rsidRPr="000F7757">
        <w:rPr>
          <w:rFonts w:ascii="Arial" w:hAnsi="Arial" w:cs="Arial"/>
          <w:noProof/>
          <w:vertAlign w:val="superscript"/>
        </w:rPr>
        <w:t>th</w:t>
      </w:r>
      <w:r w:rsidR="000F7757">
        <w:rPr>
          <w:rFonts w:ascii="Arial" w:hAnsi="Arial" w:cs="Arial"/>
          <w:noProof/>
        </w:rPr>
        <w:t xml:space="preserve"> of the financial year.</w:t>
      </w:r>
      <w:r w:rsidR="00BC0284">
        <w:rPr>
          <w:rFonts w:ascii="Arial" w:hAnsi="Arial" w:cs="Arial"/>
          <w:noProof/>
        </w:rPr>
        <w:t xml:space="preserve">  For regular payments, such as salaries, this should be approximately 8.3% of the annual expenditure.  </w:t>
      </w:r>
    </w:p>
    <w:p w14:paraId="07F2E9C5" w14:textId="77777777" w:rsidR="00986589" w:rsidRDefault="00986589" w:rsidP="00986589">
      <w:pPr>
        <w:rPr>
          <w:rFonts w:ascii="Arial" w:hAnsi="Arial" w:cs="Arial"/>
          <w:b/>
          <w:bCs/>
          <w:noProof/>
        </w:rPr>
      </w:pPr>
      <w:r w:rsidRPr="00F91521">
        <w:rPr>
          <w:rFonts w:ascii="Arial" w:hAnsi="Arial" w:cs="Arial"/>
          <w:b/>
          <w:bCs/>
          <w:noProof/>
        </w:rPr>
        <w:t>EXPENDITURE</w:t>
      </w:r>
    </w:p>
    <w:p w14:paraId="71CB4544" w14:textId="21AEDB39" w:rsidR="00DE482F" w:rsidRDefault="00DE482F" w:rsidP="00986589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Salary Costs:  </w:t>
      </w:r>
      <w:r w:rsidR="00872FD1">
        <w:rPr>
          <w:rFonts w:ascii="Arial" w:hAnsi="Arial" w:cs="Arial"/>
          <w:noProof/>
        </w:rPr>
        <w:t xml:space="preserve">a 5% contingency has been included in clerk’s salary </w:t>
      </w:r>
      <w:r w:rsidR="006E3642">
        <w:rPr>
          <w:rFonts w:ascii="Arial" w:hAnsi="Arial" w:cs="Arial"/>
          <w:noProof/>
        </w:rPr>
        <w:t>which will be dependant upon the national pay agreement for 1 April 2024-31</w:t>
      </w:r>
      <w:r w:rsidR="006E3642" w:rsidRPr="006E3642">
        <w:rPr>
          <w:rFonts w:ascii="Arial" w:hAnsi="Arial" w:cs="Arial"/>
          <w:noProof/>
          <w:vertAlign w:val="superscript"/>
        </w:rPr>
        <w:t>st</w:t>
      </w:r>
      <w:r w:rsidR="006E3642">
        <w:rPr>
          <w:rFonts w:ascii="Arial" w:hAnsi="Arial" w:cs="Arial"/>
          <w:noProof/>
        </w:rPr>
        <w:t xml:space="preserve"> March 2025.  These agreements have not been reached until </w:t>
      </w:r>
      <w:r w:rsidR="008716FC">
        <w:rPr>
          <w:rFonts w:ascii="Arial" w:hAnsi="Arial" w:cs="Arial"/>
          <w:noProof/>
        </w:rPr>
        <w:t>9 months into the year in previous years.</w:t>
      </w:r>
    </w:p>
    <w:p w14:paraId="3C382C9F" w14:textId="313810E0" w:rsidR="008716FC" w:rsidRDefault="008716FC" w:rsidP="008716FC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Payroll costs: </w:t>
      </w:r>
      <w:r>
        <w:rPr>
          <w:rFonts w:ascii="Arial" w:hAnsi="Arial" w:cs="Arial"/>
          <w:noProof/>
        </w:rPr>
        <w:t>The invoice for the second half of 23-24 was not received until this financial year.</w:t>
      </w:r>
      <w:r>
        <w:rPr>
          <w:rFonts w:ascii="Arial" w:hAnsi="Arial" w:cs="Arial"/>
          <w:noProof/>
        </w:rPr>
        <w:t xml:space="preserve">  If both invoices for this year are submitted in time, this will be overspent, but is included in the reserves from last year’s budget.</w:t>
      </w:r>
    </w:p>
    <w:p w14:paraId="49358522" w14:textId="456FA863" w:rsidR="007B6459" w:rsidRPr="00472495" w:rsidRDefault="007B6459" w:rsidP="00986589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Street Lighting:  </w:t>
      </w:r>
      <w:r w:rsidR="00472495">
        <w:rPr>
          <w:rFonts w:ascii="Arial" w:hAnsi="Arial" w:cs="Arial"/>
          <w:noProof/>
        </w:rPr>
        <w:t>There was no available information re costs at the time of b</w:t>
      </w:r>
      <w:r w:rsidR="0022769D">
        <w:rPr>
          <w:rFonts w:ascii="Arial" w:hAnsi="Arial" w:cs="Arial"/>
          <w:noProof/>
        </w:rPr>
        <w:t>udgeting.  A prudent approach was adopted and has resulted in an underspend.</w:t>
      </w:r>
    </w:p>
    <w:p w14:paraId="0CE23D5C" w14:textId="2B083998" w:rsidR="00080B12" w:rsidRDefault="00080B12" w:rsidP="00986589">
      <w:pPr>
        <w:rPr>
          <w:rFonts w:ascii="Arial" w:hAnsi="Arial" w:cs="Arial"/>
          <w:noProof/>
        </w:rPr>
      </w:pPr>
      <w:r w:rsidRPr="00080B12">
        <w:rPr>
          <w:rFonts w:ascii="Arial" w:hAnsi="Arial" w:cs="Arial"/>
          <w:b/>
          <w:bCs/>
          <w:noProof/>
        </w:rPr>
        <w:t>Parish Papers</w:t>
      </w:r>
      <w:r>
        <w:rPr>
          <w:rFonts w:ascii="Arial" w:hAnsi="Arial" w:cs="Arial"/>
          <w:b/>
          <w:bCs/>
          <w:noProof/>
        </w:rPr>
        <w:t xml:space="preserve">:  </w:t>
      </w:r>
      <w:r>
        <w:rPr>
          <w:rFonts w:ascii="Arial" w:hAnsi="Arial" w:cs="Arial"/>
          <w:noProof/>
        </w:rPr>
        <w:t xml:space="preserve">the parish papers continue to expand, but </w:t>
      </w:r>
      <w:r w:rsidR="000D107E">
        <w:rPr>
          <w:rFonts w:ascii="Arial" w:hAnsi="Arial" w:cs="Arial"/>
          <w:noProof/>
        </w:rPr>
        <w:t xml:space="preserve">hopefully the majority of the cost will be met by advertising.  At the present charge, the budget could be </w:t>
      </w:r>
      <w:r w:rsidR="0022769D">
        <w:rPr>
          <w:rFonts w:ascii="Arial" w:hAnsi="Arial" w:cs="Arial"/>
          <w:noProof/>
        </w:rPr>
        <w:t>overspent.</w:t>
      </w:r>
    </w:p>
    <w:p w14:paraId="5DDABDB8" w14:textId="749FE990" w:rsidR="000D107E" w:rsidRDefault="00AA5DB8" w:rsidP="00986589">
      <w:pPr>
        <w:rPr>
          <w:rFonts w:ascii="Arial" w:hAnsi="Arial" w:cs="Arial"/>
          <w:b/>
          <w:bCs/>
          <w:noProof/>
        </w:rPr>
      </w:pPr>
      <w:r w:rsidRPr="00AA5DB8">
        <w:rPr>
          <w:rFonts w:ascii="Arial" w:hAnsi="Arial" w:cs="Arial"/>
          <w:b/>
          <w:bCs/>
          <w:noProof/>
        </w:rPr>
        <w:t>INCOME</w:t>
      </w:r>
    </w:p>
    <w:p w14:paraId="57295853" w14:textId="77777777" w:rsidR="004B1789" w:rsidRDefault="00AA5DB8" w:rsidP="00986589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Precept:  </w:t>
      </w:r>
      <w:r w:rsidR="00CA6F27">
        <w:rPr>
          <w:rFonts w:ascii="Arial" w:hAnsi="Arial" w:cs="Arial"/>
          <w:noProof/>
        </w:rPr>
        <w:t>half of the precept has been received, the other half will be received at the end of September.</w:t>
      </w:r>
    </w:p>
    <w:p w14:paraId="42E8BF3C" w14:textId="405CFC81" w:rsidR="00080B12" w:rsidRPr="007B6459" w:rsidRDefault="004B1789" w:rsidP="00986589">
      <w:pPr>
        <w:rPr>
          <w:rFonts w:ascii="Arial" w:hAnsi="Arial" w:cs="Arial"/>
          <w:noProof/>
        </w:rPr>
      </w:pPr>
      <w:r w:rsidRPr="004B1789">
        <w:rPr>
          <w:rFonts w:ascii="Arial" w:hAnsi="Arial" w:cs="Arial"/>
          <w:b/>
          <w:bCs/>
          <w:noProof/>
        </w:rPr>
        <w:t>VAT:</w:t>
      </w:r>
      <w:r>
        <w:rPr>
          <w:rFonts w:ascii="Arial" w:hAnsi="Arial" w:cs="Arial"/>
          <w:b/>
          <w:bCs/>
          <w:noProof/>
        </w:rPr>
        <w:t xml:space="preserve">  </w:t>
      </w:r>
      <w:r>
        <w:rPr>
          <w:rFonts w:ascii="Arial" w:hAnsi="Arial" w:cs="Arial"/>
          <w:noProof/>
        </w:rPr>
        <w:t xml:space="preserve">a Vat claim </w:t>
      </w:r>
      <w:r w:rsidR="00DE482F">
        <w:rPr>
          <w:rFonts w:ascii="Arial" w:hAnsi="Arial" w:cs="Arial"/>
          <w:noProof/>
        </w:rPr>
        <w:t>will be submitted over the next few days.</w:t>
      </w:r>
    </w:p>
    <w:p w14:paraId="235416E1" w14:textId="1295FF69" w:rsidR="00C46E6E" w:rsidRPr="00F91521" w:rsidRDefault="00C46E6E" w:rsidP="00986589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</w:r>
    </w:p>
    <w:sectPr w:rsidR="00C46E6E" w:rsidRPr="00F91521" w:rsidSect="006823B1">
      <w:type w:val="continuous"/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428C7" w14:textId="77777777" w:rsidR="006823B1" w:rsidRDefault="006823B1" w:rsidP="00B46FDD">
      <w:pPr>
        <w:spacing w:after="0" w:line="240" w:lineRule="auto"/>
      </w:pPr>
      <w:r>
        <w:separator/>
      </w:r>
    </w:p>
  </w:endnote>
  <w:endnote w:type="continuationSeparator" w:id="0">
    <w:p w14:paraId="376AA590" w14:textId="77777777" w:rsidR="006823B1" w:rsidRDefault="006823B1" w:rsidP="00B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F7BE2" w14:textId="77777777" w:rsidR="006823B1" w:rsidRDefault="006823B1" w:rsidP="00B46FDD">
      <w:pPr>
        <w:spacing w:after="0" w:line="240" w:lineRule="auto"/>
      </w:pPr>
      <w:r>
        <w:separator/>
      </w:r>
    </w:p>
  </w:footnote>
  <w:footnote w:type="continuationSeparator" w:id="0">
    <w:p w14:paraId="40BFB8B6" w14:textId="77777777" w:rsidR="006823B1" w:rsidRDefault="006823B1" w:rsidP="00B4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806067">
    <w:abstractNumId w:val="1"/>
  </w:num>
  <w:num w:numId="2" w16cid:durableId="141531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38D7"/>
    <w:rsid w:val="0000512A"/>
    <w:rsid w:val="00021142"/>
    <w:rsid w:val="00025C53"/>
    <w:rsid w:val="000301C9"/>
    <w:rsid w:val="000309CD"/>
    <w:rsid w:val="0003145F"/>
    <w:rsid w:val="00033C06"/>
    <w:rsid w:val="000346BD"/>
    <w:rsid w:val="000366AF"/>
    <w:rsid w:val="000409F7"/>
    <w:rsid w:val="0004140D"/>
    <w:rsid w:val="0004283B"/>
    <w:rsid w:val="00042EC6"/>
    <w:rsid w:val="00043C8F"/>
    <w:rsid w:val="00044420"/>
    <w:rsid w:val="00046406"/>
    <w:rsid w:val="00046A28"/>
    <w:rsid w:val="0005232B"/>
    <w:rsid w:val="00057C3F"/>
    <w:rsid w:val="000600BD"/>
    <w:rsid w:val="00062C92"/>
    <w:rsid w:val="0006309E"/>
    <w:rsid w:val="000633A6"/>
    <w:rsid w:val="00064161"/>
    <w:rsid w:val="00064B3C"/>
    <w:rsid w:val="00071068"/>
    <w:rsid w:val="00071882"/>
    <w:rsid w:val="000800C3"/>
    <w:rsid w:val="000805CB"/>
    <w:rsid w:val="00080B12"/>
    <w:rsid w:val="0009142C"/>
    <w:rsid w:val="00095FEE"/>
    <w:rsid w:val="00096155"/>
    <w:rsid w:val="00096321"/>
    <w:rsid w:val="000971C9"/>
    <w:rsid w:val="000A1404"/>
    <w:rsid w:val="000A34EC"/>
    <w:rsid w:val="000A4AD8"/>
    <w:rsid w:val="000C30EE"/>
    <w:rsid w:val="000C38A2"/>
    <w:rsid w:val="000C575F"/>
    <w:rsid w:val="000D00A7"/>
    <w:rsid w:val="000D0E64"/>
    <w:rsid w:val="000D107E"/>
    <w:rsid w:val="000D1F17"/>
    <w:rsid w:val="000D348C"/>
    <w:rsid w:val="000D3AF4"/>
    <w:rsid w:val="000D4B4C"/>
    <w:rsid w:val="000D6976"/>
    <w:rsid w:val="000E1858"/>
    <w:rsid w:val="000E1C85"/>
    <w:rsid w:val="000E2399"/>
    <w:rsid w:val="000E7F53"/>
    <w:rsid w:val="000F177E"/>
    <w:rsid w:val="000F3CB0"/>
    <w:rsid w:val="000F7757"/>
    <w:rsid w:val="000F7763"/>
    <w:rsid w:val="00102F75"/>
    <w:rsid w:val="00103F5B"/>
    <w:rsid w:val="00104BA6"/>
    <w:rsid w:val="00110396"/>
    <w:rsid w:val="00110976"/>
    <w:rsid w:val="00111661"/>
    <w:rsid w:val="001135FC"/>
    <w:rsid w:val="00113DE6"/>
    <w:rsid w:val="00114CE4"/>
    <w:rsid w:val="00117C5C"/>
    <w:rsid w:val="00123A62"/>
    <w:rsid w:val="0012707F"/>
    <w:rsid w:val="00127958"/>
    <w:rsid w:val="00130744"/>
    <w:rsid w:val="00140992"/>
    <w:rsid w:val="00144775"/>
    <w:rsid w:val="00150FDB"/>
    <w:rsid w:val="00153D0A"/>
    <w:rsid w:val="0015424E"/>
    <w:rsid w:val="00155EBB"/>
    <w:rsid w:val="001616F7"/>
    <w:rsid w:val="00162205"/>
    <w:rsid w:val="001633AC"/>
    <w:rsid w:val="00175F85"/>
    <w:rsid w:val="001761EC"/>
    <w:rsid w:val="0017666B"/>
    <w:rsid w:val="001772FF"/>
    <w:rsid w:val="0018116D"/>
    <w:rsid w:val="00181863"/>
    <w:rsid w:val="00182CA4"/>
    <w:rsid w:val="00184985"/>
    <w:rsid w:val="001872A8"/>
    <w:rsid w:val="00192272"/>
    <w:rsid w:val="0019391D"/>
    <w:rsid w:val="00193D61"/>
    <w:rsid w:val="001A3D6D"/>
    <w:rsid w:val="001A4844"/>
    <w:rsid w:val="001A5916"/>
    <w:rsid w:val="001A603A"/>
    <w:rsid w:val="001B0A50"/>
    <w:rsid w:val="001B15B8"/>
    <w:rsid w:val="001B298E"/>
    <w:rsid w:val="001B4D59"/>
    <w:rsid w:val="001B5312"/>
    <w:rsid w:val="001B6195"/>
    <w:rsid w:val="001B61CC"/>
    <w:rsid w:val="001B7FEF"/>
    <w:rsid w:val="001C36B5"/>
    <w:rsid w:val="001C51AE"/>
    <w:rsid w:val="001C5DD0"/>
    <w:rsid w:val="001C6C6C"/>
    <w:rsid w:val="001D2FB5"/>
    <w:rsid w:val="001D3ADD"/>
    <w:rsid w:val="001D4839"/>
    <w:rsid w:val="001D6E3E"/>
    <w:rsid w:val="001E02E5"/>
    <w:rsid w:val="001E2A32"/>
    <w:rsid w:val="001E63CA"/>
    <w:rsid w:val="001E6928"/>
    <w:rsid w:val="001F06C7"/>
    <w:rsid w:val="001F58CF"/>
    <w:rsid w:val="001F661A"/>
    <w:rsid w:val="001F69B9"/>
    <w:rsid w:val="001F7B7E"/>
    <w:rsid w:val="00203639"/>
    <w:rsid w:val="002048C7"/>
    <w:rsid w:val="00204DC6"/>
    <w:rsid w:val="00206D12"/>
    <w:rsid w:val="00207D1F"/>
    <w:rsid w:val="00207DE1"/>
    <w:rsid w:val="00211885"/>
    <w:rsid w:val="00217F0F"/>
    <w:rsid w:val="0022052E"/>
    <w:rsid w:val="00220AB2"/>
    <w:rsid w:val="00222785"/>
    <w:rsid w:val="0022572C"/>
    <w:rsid w:val="0022769D"/>
    <w:rsid w:val="00230405"/>
    <w:rsid w:val="002317F2"/>
    <w:rsid w:val="00231DB4"/>
    <w:rsid w:val="00232CE0"/>
    <w:rsid w:val="0023663C"/>
    <w:rsid w:val="00236D78"/>
    <w:rsid w:val="00237E38"/>
    <w:rsid w:val="002411F8"/>
    <w:rsid w:val="002417E6"/>
    <w:rsid w:val="00241EE8"/>
    <w:rsid w:val="002469F0"/>
    <w:rsid w:val="0025154D"/>
    <w:rsid w:val="00251779"/>
    <w:rsid w:val="00251799"/>
    <w:rsid w:val="002528A4"/>
    <w:rsid w:val="0025415A"/>
    <w:rsid w:val="00254DED"/>
    <w:rsid w:val="00255504"/>
    <w:rsid w:val="00262317"/>
    <w:rsid w:val="00265B3E"/>
    <w:rsid w:val="00271235"/>
    <w:rsid w:val="00271634"/>
    <w:rsid w:val="00273861"/>
    <w:rsid w:val="00273B38"/>
    <w:rsid w:val="00276519"/>
    <w:rsid w:val="00282022"/>
    <w:rsid w:val="00283DA4"/>
    <w:rsid w:val="00286FDE"/>
    <w:rsid w:val="002A725B"/>
    <w:rsid w:val="002B06CD"/>
    <w:rsid w:val="002B3F40"/>
    <w:rsid w:val="002B573F"/>
    <w:rsid w:val="002C0B2F"/>
    <w:rsid w:val="002C35A3"/>
    <w:rsid w:val="002C5613"/>
    <w:rsid w:val="002C782E"/>
    <w:rsid w:val="002C79D5"/>
    <w:rsid w:val="002D4D3B"/>
    <w:rsid w:val="002D59D0"/>
    <w:rsid w:val="002D59F4"/>
    <w:rsid w:val="002D6F45"/>
    <w:rsid w:val="002E1662"/>
    <w:rsid w:val="002E1860"/>
    <w:rsid w:val="002E1B65"/>
    <w:rsid w:val="002E1B95"/>
    <w:rsid w:val="002E2878"/>
    <w:rsid w:val="002E44B6"/>
    <w:rsid w:val="002E5D51"/>
    <w:rsid w:val="002E6577"/>
    <w:rsid w:val="002F2876"/>
    <w:rsid w:val="002F2E7E"/>
    <w:rsid w:val="003014C6"/>
    <w:rsid w:val="00303E84"/>
    <w:rsid w:val="00303F0C"/>
    <w:rsid w:val="00303F65"/>
    <w:rsid w:val="00304E3F"/>
    <w:rsid w:val="0031122F"/>
    <w:rsid w:val="00311306"/>
    <w:rsid w:val="003116F5"/>
    <w:rsid w:val="00311878"/>
    <w:rsid w:val="003153C5"/>
    <w:rsid w:val="00315817"/>
    <w:rsid w:val="00315AE2"/>
    <w:rsid w:val="003212BB"/>
    <w:rsid w:val="00321D13"/>
    <w:rsid w:val="0033000E"/>
    <w:rsid w:val="003303D6"/>
    <w:rsid w:val="00337DC5"/>
    <w:rsid w:val="00341CF1"/>
    <w:rsid w:val="00345C41"/>
    <w:rsid w:val="00347609"/>
    <w:rsid w:val="00352EA2"/>
    <w:rsid w:val="00353FAE"/>
    <w:rsid w:val="0035742E"/>
    <w:rsid w:val="003625DD"/>
    <w:rsid w:val="003629E8"/>
    <w:rsid w:val="003631A0"/>
    <w:rsid w:val="00375360"/>
    <w:rsid w:val="00385033"/>
    <w:rsid w:val="003854BE"/>
    <w:rsid w:val="00386D1A"/>
    <w:rsid w:val="00391C8D"/>
    <w:rsid w:val="00393575"/>
    <w:rsid w:val="0039518F"/>
    <w:rsid w:val="00396D18"/>
    <w:rsid w:val="003A18B5"/>
    <w:rsid w:val="003A1CD9"/>
    <w:rsid w:val="003A2CBF"/>
    <w:rsid w:val="003A6A0E"/>
    <w:rsid w:val="003A6BD6"/>
    <w:rsid w:val="003A7565"/>
    <w:rsid w:val="003B17D6"/>
    <w:rsid w:val="003B4243"/>
    <w:rsid w:val="003B4BD1"/>
    <w:rsid w:val="003B629E"/>
    <w:rsid w:val="003C1284"/>
    <w:rsid w:val="003C155F"/>
    <w:rsid w:val="003C5115"/>
    <w:rsid w:val="003C7E1B"/>
    <w:rsid w:val="003D0A4B"/>
    <w:rsid w:val="003D30B9"/>
    <w:rsid w:val="003D388D"/>
    <w:rsid w:val="003D7402"/>
    <w:rsid w:val="003D750D"/>
    <w:rsid w:val="003E3DEB"/>
    <w:rsid w:val="003E526D"/>
    <w:rsid w:val="003E5FA0"/>
    <w:rsid w:val="003E7FD6"/>
    <w:rsid w:val="00401B46"/>
    <w:rsid w:val="00405800"/>
    <w:rsid w:val="00406923"/>
    <w:rsid w:val="00407D38"/>
    <w:rsid w:val="00412423"/>
    <w:rsid w:val="00412797"/>
    <w:rsid w:val="0042130D"/>
    <w:rsid w:val="00423FA7"/>
    <w:rsid w:val="00426532"/>
    <w:rsid w:val="00426A6E"/>
    <w:rsid w:val="004301D6"/>
    <w:rsid w:val="00431DC3"/>
    <w:rsid w:val="00432A80"/>
    <w:rsid w:val="004363E5"/>
    <w:rsid w:val="00443EE8"/>
    <w:rsid w:val="0044406D"/>
    <w:rsid w:val="004441C7"/>
    <w:rsid w:val="004447E2"/>
    <w:rsid w:val="00445318"/>
    <w:rsid w:val="004458E6"/>
    <w:rsid w:val="004467C3"/>
    <w:rsid w:val="0044721F"/>
    <w:rsid w:val="00447A93"/>
    <w:rsid w:val="0045254F"/>
    <w:rsid w:val="00453A61"/>
    <w:rsid w:val="00454654"/>
    <w:rsid w:val="004622DC"/>
    <w:rsid w:val="00462341"/>
    <w:rsid w:val="0047076E"/>
    <w:rsid w:val="00472495"/>
    <w:rsid w:val="004746E4"/>
    <w:rsid w:val="0047576A"/>
    <w:rsid w:val="004824E9"/>
    <w:rsid w:val="00482EEE"/>
    <w:rsid w:val="00492809"/>
    <w:rsid w:val="00497445"/>
    <w:rsid w:val="0049755D"/>
    <w:rsid w:val="004A0D1D"/>
    <w:rsid w:val="004A1756"/>
    <w:rsid w:val="004A298B"/>
    <w:rsid w:val="004A33DF"/>
    <w:rsid w:val="004A55F7"/>
    <w:rsid w:val="004A61B8"/>
    <w:rsid w:val="004A7730"/>
    <w:rsid w:val="004B1789"/>
    <w:rsid w:val="004B31C3"/>
    <w:rsid w:val="004B3849"/>
    <w:rsid w:val="004C1D33"/>
    <w:rsid w:val="004C6B86"/>
    <w:rsid w:val="004D194A"/>
    <w:rsid w:val="004E3736"/>
    <w:rsid w:val="004E40FE"/>
    <w:rsid w:val="004F3CB9"/>
    <w:rsid w:val="004F4D9B"/>
    <w:rsid w:val="004F70E1"/>
    <w:rsid w:val="005002E7"/>
    <w:rsid w:val="005031CE"/>
    <w:rsid w:val="00503BA1"/>
    <w:rsid w:val="00504C6E"/>
    <w:rsid w:val="0050667F"/>
    <w:rsid w:val="00506D58"/>
    <w:rsid w:val="00507C52"/>
    <w:rsid w:val="005126D5"/>
    <w:rsid w:val="00512D34"/>
    <w:rsid w:val="00515541"/>
    <w:rsid w:val="00515ACC"/>
    <w:rsid w:val="00515C23"/>
    <w:rsid w:val="0052318A"/>
    <w:rsid w:val="005267F4"/>
    <w:rsid w:val="0053055C"/>
    <w:rsid w:val="00543F4D"/>
    <w:rsid w:val="00550A7D"/>
    <w:rsid w:val="00550B4C"/>
    <w:rsid w:val="00552616"/>
    <w:rsid w:val="00552ABF"/>
    <w:rsid w:val="00557A0C"/>
    <w:rsid w:val="00566A4D"/>
    <w:rsid w:val="00566C51"/>
    <w:rsid w:val="00567708"/>
    <w:rsid w:val="00567C43"/>
    <w:rsid w:val="00570D53"/>
    <w:rsid w:val="005851E3"/>
    <w:rsid w:val="0058621D"/>
    <w:rsid w:val="0059165E"/>
    <w:rsid w:val="005932AA"/>
    <w:rsid w:val="00594780"/>
    <w:rsid w:val="00594BF7"/>
    <w:rsid w:val="00595897"/>
    <w:rsid w:val="005A024E"/>
    <w:rsid w:val="005A1703"/>
    <w:rsid w:val="005A3626"/>
    <w:rsid w:val="005A6454"/>
    <w:rsid w:val="005A78B3"/>
    <w:rsid w:val="005B1F33"/>
    <w:rsid w:val="005B460A"/>
    <w:rsid w:val="005B46CD"/>
    <w:rsid w:val="005B4741"/>
    <w:rsid w:val="005B5731"/>
    <w:rsid w:val="005B5B18"/>
    <w:rsid w:val="005B7203"/>
    <w:rsid w:val="005B7BC2"/>
    <w:rsid w:val="005C3593"/>
    <w:rsid w:val="005D0C37"/>
    <w:rsid w:val="005D28BB"/>
    <w:rsid w:val="005D78BA"/>
    <w:rsid w:val="005E1A28"/>
    <w:rsid w:val="005E37EC"/>
    <w:rsid w:val="005E688D"/>
    <w:rsid w:val="005E734B"/>
    <w:rsid w:val="0060427C"/>
    <w:rsid w:val="0060644F"/>
    <w:rsid w:val="006065FA"/>
    <w:rsid w:val="006079CF"/>
    <w:rsid w:val="00614A1D"/>
    <w:rsid w:val="0061780A"/>
    <w:rsid w:val="00623516"/>
    <w:rsid w:val="00623C92"/>
    <w:rsid w:val="006266BB"/>
    <w:rsid w:val="00635BB5"/>
    <w:rsid w:val="00636295"/>
    <w:rsid w:val="0064070B"/>
    <w:rsid w:val="00641FC6"/>
    <w:rsid w:val="00642775"/>
    <w:rsid w:val="00645BF9"/>
    <w:rsid w:val="0064631F"/>
    <w:rsid w:val="00646423"/>
    <w:rsid w:val="0064796E"/>
    <w:rsid w:val="00654A91"/>
    <w:rsid w:val="00655BB0"/>
    <w:rsid w:val="006575DF"/>
    <w:rsid w:val="0066365D"/>
    <w:rsid w:val="00666395"/>
    <w:rsid w:val="006677A4"/>
    <w:rsid w:val="0067176D"/>
    <w:rsid w:val="0067443C"/>
    <w:rsid w:val="00674F34"/>
    <w:rsid w:val="00675DF2"/>
    <w:rsid w:val="00680305"/>
    <w:rsid w:val="006823B1"/>
    <w:rsid w:val="006840E0"/>
    <w:rsid w:val="00685E03"/>
    <w:rsid w:val="00687E36"/>
    <w:rsid w:val="0069016C"/>
    <w:rsid w:val="00695762"/>
    <w:rsid w:val="00695FD1"/>
    <w:rsid w:val="00696938"/>
    <w:rsid w:val="006979FE"/>
    <w:rsid w:val="006A0089"/>
    <w:rsid w:val="006A5451"/>
    <w:rsid w:val="006A5A0E"/>
    <w:rsid w:val="006B08B2"/>
    <w:rsid w:val="006B449F"/>
    <w:rsid w:val="006B4CE7"/>
    <w:rsid w:val="006B610A"/>
    <w:rsid w:val="006C008A"/>
    <w:rsid w:val="006C258F"/>
    <w:rsid w:val="006C2A36"/>
    <w:rsid w:val="006C6EB0"/>
    <w:rsid w:val="006D05EC"/>
    <w:rsid w:val="006D1DE0"/>
    <w:rsid w:val="006D4B97"/>
    <w:rsid w:val="006D4E30"/>
    <w:rsid w:val="006D5E6B"/>
    <w:rsid w:val="006D6979"/>
    <w:rsid w:val="006E0F30"/>
    <w:rsid w:val="006E2AE1"/>
    <w:rsid w:val="006E3642"/>
    <w:rsid w:val="006E61D9"/>
    <w:rsid w:val="006E6A25"/>
    <w:rsid w:val="006F246C"/>
    <w:rsid w:val="00703571"/>
    <w:rsid w:val="00706E1C"/>
    <w:rsid w:val="00707E66"/>
    <w:rsid w:val="0071054D"/>
    <w:rsid w:val="00711EC7"/>
    <w:rsid w:val="007131B3"/>
    <w:rsid w:val="00714D62"/>
    <w:rsid w:val="00716003"/>
    <w:rsid w:val="00716D79"/>
    <w:rsid w:val="00722BD2"/>
    <w:rsid w:val="00722F56"/>
    <w:rsid w:val="00723853"/>
    <w:rsid w:val="00723A8C"/>
    <w:rsid w:val="00724073"/>
    <w:rsid w:val="00727269"/>
    <w:rsid w:val="00730367"/>
    <w:rsid w:val="00731334"/>
    <w:rsid w:val="007365CD"/>
    <w:rsid w:val="00740038"/>
    <w:rsid w:val="0074109B"/>
    <w:rsid w:val="00742E72"/>
    <w:rsid w:val="007434D3"/>
    <w:rsid w:val="00744066"/>
    <w:rsid w:val="00745209"/>
    <w:rsid w:val="00745D58"/>
    <w:rsid w:val="00761BA4"/>
    <w:rsid w:val="0077052A"/>
    <w:rsid w:val="007708C9"/>
    <w:rsid w:val="00772A5D"/>
    <w:rsid w:val="007764E4"/>
    <w:rsid w:val="00777CE0"/>
    <w:rsid w:val="007800AF"/>
    <w:rsid w:val="00780614"/>
    <w:rsid w:val="00781474"/>
    <w:rsid w:val="007817B8"/>
    <w:rsid w:val="00783A00"/>
    <w:rsid w:val="00784825"/>
    <w:rsid w:val="00790389"/>
    <w:rsid w:val="00791EC7"/>
    <w:rsid w:val="0079327C"/>
    <w:rsid w:val="007A1514"/>
    <w:rsid w:val="007A4BFA"/>
    <w:rsid w:val="007B4780"/>
    <w:rsid w:val="007B6459"/>
    <w:rsid w:val="007B7453"/>
    <w:rsid w:val="007C2B69"/>
    <w:rsid w:val="007C4391"/>
    <w:rsid w:val="007C45AD"/>
    <w:rsid w:val="007C5C12"/>
    <w:rsid w:val="007C7B29"/>
    <w:rsid w:val="007D040E"/>
    <w:rsid w:val="007D44AA"/>
    <w:rsid w:val="007D5273"/>
    <w:rsid w:val="007E2C67"/>
    <w:rsid w:val="007E3C8C"/>
    <w:rsid w:val="007E7B7A"/>
    <w:rsid w:val="007E7F4D"/>
    <w:rsid w:val="007F0371"/>
    <w:rsid w:val="007F3011"/>
    <w:rsid w:val="0080155F"/>
    <w:rsid w:val="00805093"/>
    <w:rsid w:val="00805613"/>
    <w:rsid w:val="008100EC"/>
    <w:rsid w:val="00810B7C"/>
    <w:rsid w:val="008126FA"/>
    <w:rsid w:val="008131C8"/>
    <w:rsid w:val="00813E15"/>
    <w:rsid w:val="00813F9D"/>
    <w:rsid w:val="008175E5"/>
    <w:rsid w:val="008177B9"/>
    <w:rsid w:val="008206E2"/>
    <w:rsid w:val="00824E51"/>
    <w:rsid w:val="00826A9A"/>
    <w:rsid w:val="00827F12"/>
    <w:rsid w:val="008316FF"/>
    <w:rsid w:val="00831DB2"/>
    <w:rsid w:val="008447EF"/>
    <w:rsid w:val="00847B7E"/>
    <w:rsid w:val="008507D6"/>
    <w:rsid w:val="00851C8B"/>
    <w:rsid w:val="00854E19"/>
    <w:rsid w:val="00860929"/>
    <w:rsid w:val="00860B00"/>
    <w:rsid w:val="008623DE"/>
    <w:rsid w:val="00863C9E"/>
    <w:rsid w:val="008716FC"/>
    <w:rsid w:val="00872FD1"/>
    <w:rsid w:val="008772BC"/>
    <w:rsid w:val="00884A5C"/>
    <w:rsid w:val="0088673C"/>
    <w:rsid w:val="00887FF5"/>
    <w:rsid w:val="00891C95"/>
    <w:rsid w:val="00891E7D"/>
    <w:rsid w:val="00892E16"/>
    <w:rsid w:val="00892E3C"/>
    <w:rsid w:val="008A0632"/>
    <w:rsid w:val="008A0D70"/>
    <w:rsid w:val="008A15DE"/>
    <w:rsid w:val="008A1A41"/>
    <w:rsid w:val="008A362D"/>
    <w:rsid w:val="008A5A3C"/>
    <w:rsid w:val="008A635C"/>
    <w:rsid w:val="008A789F"/>
    <w:rsid w:val="008C0B21"/>
    <w:rsid w:val="008C11F7"/>
    <w:rsid w:val="008C2C96"/>
    <w:rsid w:val="008C3008"/>
    <w:rsid w:val="008C300B"/>
    <w:rsid w:val="008C339C"/>
    <w:rsid w:val="008D1063"/>
    <w:rsid w:val="008D1F95"/>
    <w:rsid w:val="008D70C3"/>
    <w:rsid w:val="008D7665"/>
    <w:rsid w:val="008D797A"/>
    <w:rsid w:val="008E02DD"/>
    <w:rsid w:val="008E57C9"/>
    <w:rsid w:val="008F2C1C"/>
    <w:rsid w:val="008F46A3"/>
    <w:rsid w:val="008F5940"/>
    <w:rsid w:val="00901BD6"/>
    <w:rsid w:val="009029E6"/>
    <w:rsid w:val="00902B16"/>
    <w:rsid w:val="00905A3A"/>
    <w:rsid w:val="00910126"/>
    <w:rsid w:val="00914AB1"/>
    <w:rsid w:val="009159EA"/>
    <w:rsid w:val="00921691"/>
    <w:rsid w:val="0092726F"/>
    <w:rsid w:val="009312D7"/>
    <w:rsid w:val="00932159"/>
    <w:rsid w:val="00932E86"/>
    <w:rsid w:val="00933D6C"/>
    <w:rsid w:val="009408A2"/>
    <w:rsid w:val="009417AD"/>
    <w:rsid w:val="0094277A"/>
    <w:rsid w:val="00942844"/>
    <w:rsid w:val="00943B61"/>
    <w:rsid w:val="00943F10"/>
    <w:rsid w:val="00945F92"/>
    <w:rsid w:val="00952E0D"/>
    <w:rsid w:val="00953CC2"/>
    <w:rsid w:val="0095576A"/>
    <w:rsid w:val="009607CE"/>
    <w:rsid w:val="00961AFB"/>
    <w:rsid w:val="009655DB"/>
    <w:rsid w:val="00971A7A"/>
    <w:rsid w:val="009735A1"/>
    <w:rsid w:val="00982D45"/>
    <w:rsid w:val="00984044"/>
    <w:rsid w:val="00985404"/>
    <w:rsid w:val="009854E7"/>
    <w:rsid w:val="00986589"/>
    <w:rsid w:val="00991221"/>
    <w:rsid w:val="00992549"/>
    <w:rsid w:val="0099286D"/>
    <w:rsid w:val="00994C02"/>
    <w:rsid w:val="009A1981"/>
    <w:rsid w:val="009A2B8B"/>
    <w:rsid w:val="009A3FF0"/>
    <w:rsid w:val="009A40D0"/>
    <w:rsid w:val="009A5115"/>
    <w:rsid w:val="009A591E"/>
    <w:rsid w:val="009A5A95"/>
    <w:rsid w:val="009A6AA8"/>
    <w:rsid w:val="009A6C7D"/>
    <w:rsid w:val="009A71DC"/>
    <w:rsid w:val="009B012E"/>
    <w:rsid w:val="009B56A1"/>
    <w:rsid w:val="009B57F3"/>
    <w:rsid w:val="009C40AF"/>
    <w:rsid w:val="009C5C0B"/>
    <w:rsid w:val="009C7610"/>
    <w:rsid w:val="009C7791"/>
    <w:rsid w:val="009D2AC6"/>
    <w:rsid w:val="009E040A"/>
    <w:rsid w:val="009F10CA"/>
    <w:rsid w:val="009F23F3"/>
    <w:rsid w:val="009F40F5"/>
    <w:rsid w:val="009F4407"/>
    <w:rsid w:val="00A01AD5"/>
    <w:rsid w:val="00A043AB"/>
    <w:rsid w:val="00A0598D"/>
    <w:rsid w:val="00A063FA"/>
    <w:rsid w:val="00A06C9C"/>
    <w:rsid w:val="00A11703"/>
    <w:rsid w:val="00A1339F"/>
    <w:rsid w:val="00A14E75"/>
    <w:rsid w:val="00A16A9A"/>
    <w:rsid w:val="00A1729B"/>
    <w:rsid w:val="00A20D06"/>
    <w:rsid w:val="00A22677"/>
    <w:rsid w:val="00A23D3A"/>
    <w:rsid w:val="00A23DA1"/>
    <w:rsid w:val="00A25603"/>
    <w:rsid w:val="00A258D5"/>
    <w:rsid w:val="00A37789"/>
    <w:rsid w:val="00A3787D"/>
    <w:rsid w:val="00A431F6"/>
    <w:rsid w:val="00A437D9"/>
    <w:rsid w:val="00A469D1"/>
    <w:rsid w:val="00A51013"/>
    <w:rsid w:val="00A5211B"/>
    <w:rsid w:val="00A5397C"/>
    <w:rsid w:val="00A54A7D"/>
    <w:rsid w:val="00A576C8"/>
    <w:rsid w:val="00A577F7"/>
    <w:rsid w:val="00A6647F"/>
    <w:rsid w:val="00A66602"/>
    <w:rsid w:val="00A66FA6"/>
    <w:rsid w:val="00A7124C"/>
    <w:rsid w:val="00A7230E"/>
    <w:rsid w:val="00A82452"/>
    <w:rsid w:val="00A86008"/>
    <w:rsid w:val="00A86173"/>
    <w:rsid w:val="00A86F6B"/>
    <w:rsid w:val="00A95337"/>
    <w:rsid w:val="00AA14C4"/>
    <w:rsid w:val="00AA34D9"/>
    <w:rsid w:val="00AA48BB"/>
    <w:rsid w:val="00AA5DB8"/>
    <w:rsid w:val="00AA691A"/>
    <w:rsid w:val="00AB6347"/>
    <w:rsid w:val="00AB6635"/>
    <w:rsid w:val="00AC006F"/>
    <w:rsid w:val="00AC0CB2"/>
    <w:rsid w:val="00AC2F0E"/>
    <w:rsid w:val="00AC3974"/>
    <w:rsid w:val="00AC573C"/>
    <w:rsid w:val="00AC6FCF"/>
    <w:rsid w:val="00AD0203"/>
    <w:rsid w:val="00AD22DE"/>
    <w:rsid w:val="00AD2EE7"/>
    <w:rsid w:val="00AD4D76"/>
    <w:rsid w:val="00AE1486"/>
    <w:rsid w:val="00AE42B6"/>
    <w:rsid w:val="00AF11EB"/>
    <w:rsid w:val="00AF1877"/>
    <w:rsid w:val="00AF19F1"/>
    <w:rsid w:val="00AF1E82"/>
    <w:rsid w:val="00AF4103"/>
    <w:rsid w:val="00AF4877"/>
    <w:rsid w:val="00AF65D3"/>
    <w:rsid w:val="00B003E8"/>
    <w:rsid w:val="00B11F36"/>
    <w:rsid w:val="00B127E4"/>
    <w:rsid w:val="00B134E0"/>
    <w:rsid w:val="00B145BC"/>
    <w:rsid w:val="00B17DF9"/>
    <w:rsid w:val="00B202A7"/>
    <w:rsid w:val="00B237FB"/>
    <w:rsid w:val="00B27EA8"/>
    <w:rsid w:val="00B31652"/>
    <w:rsid w:val="00B31E69"/>
    <w:rsid w:val="00B348B8"/>
    <w:rsid w:val="00B35062"/>
    <w:rsid w:val="00B36DE4"/>
    <w:rsid w:val="00B379E4"/>
    <w:rsid w:val="00B4161D"/>
    <w:rsid w:val="00B41BD9"/>
    <w:rsid w:val="00B44CE5"/>
    <w:rsid w:val="00B46FDD"/>
    <w:rsid w:val="00B51CC9"/>
    <w:rsid w:val="00B52532"/>
    <w:rsid w:val="00B530E9"/>
    <w:rsid w:val="00B555EF"/>
    <w:rsid w:val="00B66981"/>
    <w:rsid w:val="00B6793B"/>
    <w:rsid w:val="00B70CAA"/>
    <w:rsid w:val="00B779EA"/>
    <w:rsid w:val="00B80A5D"/>
    <w:rsid w:val="00B81786"/>
    <w:rsid w:val="00B84C67"/>
    <w:rsid w:val="00B85065"/>
    <w:rsid w:val="00B8615C"/>
    <w:rsid w:val="00B90F2D"/>
    <w:rsid w:val="00B93182"/>
    <w:rsid w:val="00B95C13"/>
    <w:rsid w:val="00B972B8"/>
    <w:rsid w:val="00BA1163"/>
    <w:rsid w:val="00BA2B92"/>
    <w:rsid w:val="00BA3249"/>
    <w:rsid w:val="00BA4D2E"/>
    <w:rsid w:val="00BA502A"/>
    <w:rsid w:val="00BB0BAE"/>
    <w:rsid w:val="00BB4F1F"/>
    <w:rsid w:val="00BB6E1D"/>
    <w:rsid w:val="00BB7E55"/>
    <w:rsid w:val="00BC0284"/>
    <w:rsid w:val="00BC0CE5"/>
    <w:rsid w:val="00BC4D36"/>
    <w:rsid w:val="00BC6D6C"/>
    <w:rsid w:val="00BD1AC9"/>
    <w:rsid w:val="00BD43FE"/>
    <w:rsid w:val="00BD6DE6"/>
    <w:rsid w:val="00BD705C"/>
    <w:rsid w:val="00BD7E1D"/>
    <w:rsid w:val="00BE1070"/>
    <w:rsid w:val="00BE52CC"/>
    <w:rsid w:val="00BE70F3"/>
    <w:rsid w:val="00BF01D6"/>
    <w:rsid w:val="00BF3533"/>
    <w:rsid w:val="00C0748F"/>
    <w:rsid w:val="00C07EC3"/>
    <w:rsid w:val="00C1305B"/>
    <w:rsid w:val="00C17A9F"/>
    <w:rsid w:val="00C21955"/>
    <w:rsid w:val="00C21E02"/>
    <w:rsid w:val="00C224EB"/>
    <w:rsid w:val="00C27D75"/>
    <w:rsid w:val="00C30505"/>
    <w:rsid w:val="00C31E97"/>
    <w:rsid w:val="00C326E6"/>
    <w:rsid w:val="00C34601"/>
    <w:rsid w:val="00C355A9"/>
    <w:rsid w:val="00C357CD"/>
    <w:rsid w:val="00C357E9"/>
    <w:rsid w:val="00C35A29"/>
    <w:rsid w:val="00C35A2D"/>
    <w:rsid w:val="00C40D13"/>
    <w:rsid w:val="00C446B4"/>
    <w:rsid w:val="00C44C2A"/>
    <w:rsid w:val="00C4533C"/>
    <w:rsid w:val="00C465FD"/>
    <w:rsid w:val="00C46E6E"/>
    <w:rsid w:val="00C47E2B"/>
    <w:rsid w:val="00C5191B"/>
    <w:rsid w:val="00C56ED1"/>
    <w:rsid w:val="00C60253"/>
    <w:rsid w:val="00C61610"/>
    <w:rsid w:val="00C617A6"/>
    <w:rsid w:val="00C63375"/>
    <w:rsid w:val="00C650F7"/>
    <w:rsid w:val="00C67987"/>
    <w:rsid w:val="00C710D8"/>
    <w:rsid w:val="00C77BBA"/>
    <w:rsid w:val="00C83C60"/>
    <w:rsid w:val="00C84252"/>
    <w:rsid w:val="00C845F2"/>
    <w:rsid w:val="00CA019A"/>
    <w:rsid w:val="00CA0208"/>
    <w:rsid w:val="00CA6F27"/>
    <w:rsid w:val="00CB118E"/>
    <w:rsid w:val="00CB574C"/>
    <w:rsid w:val="00CC378C"/>
    <w:rsid w:val="00CC3B84"/>
    <w:rsid w:val="00CC4B79"/>
    <w:rsid w:val="00CC6D88"/>
    <w:rsid w:val="00CD3227"/>
    <w:rsid w:val="00CE3FF0"/>
    <w:rsid w:val="00CE5AAB"/>
    <w:rsid w:val="00CE7A08"/>
    <w:rsid w:val="00CF3C7B"/>
    <w:rsid w:val="00D0194A"/>
    <w:rsid w:val="00D02C6C"/>
    <w:rsid w:val="00D1115A"/>
    <w:rsid w:val="00D114C6"/>
    <w:rsid w:val="00D1300A"/>
    <w:rsid w:val="00D147D4"/>
    <w:rsid w:val="00D209B3"/>
    <w:rsid w:val="00D25D09"/>
    <w:rsid w:val="00D27387"/>
    <w:rsid w:val="00D311EA"/>
    <w:rsid w:val="00D33E31"/>
    <w:rsid w:val="00D350AC"/>
    <w:rsid w:val="00D36996"/>
    <w:rsid w:val="00D36CC1"/>
    <w:rsid w:val="00D376AD"/>
    <w:rsid w:val="00D41BC8"/>
    <w:rsid w:val="00D424CB"/>
    <w:rsid w:val="00D43AE2"/>
    <w:rsid w:val="00D47DD7"/>
    <w:rsid w:val="00D50A87"/>
    <w:rsid w:val="00D53703"/>
    <w:rsid w:val="00D53F76"/>
    <w:rsid w:val="00D57434"/>
    <w:rsid w:val="00D578B4"/>
    <w:rsid w:val="00D62824"/>
    <w:rsid w:val="00D62976"/>
    <w:rsid w:val="00D62DA3"/>
    <w:rsid w:val="00D7445F"/>
    <w:rsid w:val="00D8254B"/>
    <w:rsid w:val="00D8693C"/>
    <w:rsid w:val="00D90938"/>
    <w:rsid w:val="00D91D93"/>
    <w:rsid w:val="00D92AD2"/>
    <w:rsid w:val="00D93B9A"/>
    <w:rsid w:val="00DA0E5E"/>
    <w:rsid w:val="00DA6BF1"/>
    <w:rsid w:val="00DB17CD"/>
    <w:rsid w:val="00DB6D4D"/>
    <w:rsid w:val="00DC0464"/>
    <w:rsid w:val="00DC2C27"/>
    <w:rsid w:val="00DC7898"/>
    <w:rsid w:val="00DE2CE1"/>
    <w:rsid w:val="00DE482F"/>
    <w:rsid w:val="00DF0718"/>
    <w:rsid w:val="00DF5713"/>
    <w:rsid w:val="00DF77DA"/>
    <w:rsid w:val="00E007CB"/>
    <w:rsid w:val="00E0551F"/>
    <w:rsid w:val="00E1535F"/>
    <w:rsid w:val="00E16316"/>
    <w:rsid w:val="00E21127"/>
    <w:rsid w:val="00E2454A"/>
    <w:rsid w:val="00E27B91"/>
    <w:rsid w:val="00E30DC6"/>
    <w:rsid w:val="00E3156C"/>
    <w:rsid w:val="00E36501"/>
    <w:rsid w:val="00E37B2F"/>
    <w:rsid w:val="00E464BB"/>
    <w:rsid w:val="00E53F45"/>
    <w:rsid w:val="00E5764D"/>
    <w:rsid w:val="00E57FDF"/>
    <w:rsid w:val="00E61EA8"/>
    <w:rsid w:val="00E628E5"/>
    <w:rsid w:val="00E63259"/>
    <w:rsid w:val="00E64042"/>
    <w:rsid w:val="00E653D8"/>
    <w:rsid w:val="00E70580"/>
    <w:rsid w:val="00E722E9"/>
    <w:rsid w:val="00E80BF5"/>
    <w:rsid w:val="00E816B2"/>
    <w:rsid w:val="00E81C92"/>
    <w:rsid w:val="00E82FD5"/>
    <w:rsid w:val="00E90928"/>
    <w:rsid w:val="00E917D0"/>
    <w:rsid w:val="00EA1111"/>
    <w:rsid w:val="00EA1A1B"/>
    <w:rsid w:val="00EA1A9A"/>
    <w:rsid w:val="00EA4D3C"/>
    <w:rsid w:val="00EB6DD4"/>
    <w:rsid w:val="00EC08A3"/>
    <w:rsid w:val="00EC180A"/>
    <w:rsid w:val="00EC1B66"/>
    <w:rsid w:val="00EC5B2C"/>
    <w:rsid w:val="00EC6851"/>
    <w:rsid w:val="00ED1159"/>
    <w:rsid w:val="00ED1B11"/>
    <w:rsid w:val="00ED2651"/>
    <w:rsid w:val="00EE535A"/>
    <w:rsid w:val="00EF155C"/>
    <w:rsid w:val="00EF27DF"/>
    <w:rsid w:val="00EF37E6"/>
    <w:rsid w:val="00EF4B89"/>
    <w:rsid w:val="00F00DE2"/>
    <w:rsid w:val="00F0111A"/>
    <w:rsid w:val="00F027F4"/>
    <w:rsid w:val="00F037A2"/>
    <w:rsid w:val="00F05047"/>
    <w:rsid w:val="00F06275"/>
    <w:rsid w:val="00F07CD9"/>
    <w:rsid w:val="00F10CEE"/>
    <w:rsid w:val="00F14989"/>
    <w:rsid w:val="00F15B3D"/>
    <w:rsid w:val="00F16C44"/>
    <w:rsid w:val="00F17087"/>
    <w:rsid w:val="00F21E71"/>
    <w:rsid w:val="00F21FB7"/>
    <w:rsid w:val="00F2345A"/>
    <w:rsid w:val="00F239F8"/>
    <w:rsid w:val="00F24DA1"/>
    <w:rsid w:val="00F25A69"/>
    <w:rsid w:val="00F34D5A"/>
    <w:rsid w:val="00F36F5A"/>
    <w:rsid w:val="00F40104"/>
    <w:rsid w:val="00F525C5"/>
    <w:rsid w:val="00F52FF8"/>
    <w:rsid w:val="00F53145"/>
    <w:rsid w:val="00F55100"/>
    <w:rsid w:val="00F572DD"/>
    <w:rsid w:val="00F61965"/>
    <w:rsid w:val="00F634F8"/>
    <w:rsid w:val="00F66AAA"/>
    <w:rsid w:val="00F80942"/>
    <w:rsid w:val="00F84139"/>
    <w:rsid w:val="00F858B0"/>
    <w:rsid w:val="00F900F1"/>
    <w:rsid w:val="00F908AD"/>
    <w:rsid w:val="00F91521"/>
    <w:rsid w:val="00F92DF5"/>
    <w:rsid w:val="00F9395C"/>
    <w:rsid w:val="00F95507"/>
    <w:rsid w:val="00FA31A3"/>
    <w:rsid w:val="00FA4797"/>
    <w:rsid w:val="00FA5389"/>
    <w:rsid w:val="00FA5CA6"/>
    <w:rsid w:val="00FA652F"/>
    <w:rsid w:val="00FB0B12"/>
    <w:rsid w:val="00FB0E45"/>
    <w:rsid w:val="00FB1628"/>
    <w:rsid w:val="00FB2236"/>
    <w:rsid w:val="00FB2E59"/>
    <w:rsid w:val="00FB5EB2"/>
    <w:rsid w:val="00FB6A82"/>
    <w:rsid w:val="00FB7928"/>
    <w:rsid w:val="00FD3BFE"/>
    <w:rsid w:val="00FD55CB"/>
    <w:rsid w:val="00FE1AAD"/>
    <w:rsid w:val="00FE1D3E"/>
    <w:rsid w:val="00FE4CF2"/>
    <w:rsid w:val="00FE6615"/>
    <w:rsid w:val="00FE67A7"/>
    <w:rsid w:val="00FE6842"/>
    <w:rsid w:val="00FF05D2"/>
    <w:rsid w:val="00FF27BA"/>
    <w:rsid w:val="00FF491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C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9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0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basedOn w:val="Normal"/>
    <w:rsid w:val="00C21E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DD"/>
  </w:style>
  <w:style w:type="paragraph" w:styleId="Footer">
    <w:name w:val="footer"/>
    <w:basedOn w:val="Normal"/>
    <w:link w:val="FooterChar"/>
    <w:uiPriority w:val="99"/>
    <w:unhideWhenUsed/>
    <w:rsid w:val="00B4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FDD"/>
  </w:style>
  <w:style w:type="table" w:customStyle="1" w:styleId="TableGrid23">
    <w:name w:val="Table Grid23"/>
    <w:basedOn w:val="TableNormal"/>
    <w:next w:val="TableGrid"/>
    <w:uiPriority w:val="39"/>
    <w:rsid w:val="00A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4A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2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42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5B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1C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CC4762-4A62-0D42-8EFA-323277A5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Holbrook Parish Clerk</cp:lastModifiedBy>
  <cp:revision>15</cp:revision>
  <cp:lastPrinted>2021-05-17T10:17:00Z</cp:lastPrinted>
  <dcterms:created xsi:type="dcterms:W3CDTF">2024-05-07T13:12:00Z</dcterms:created>
  <dcterms:modified xsi:type="dcterms:W3CDTF">2024-05-07T13:50:00Z</dcterms:modified>
</cp:coreProperties>
</file>